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11BAB6">
      <w:pPr>
        <w:keepNext w:val="0"/>
        <w:keepLines w:val="0"/>
        <w:pageBreakBefore w:val="0"/>
        <w:widowControl w:val="0"/>
        <w:kinsoku/>
        <w:wordWrap/>
        <w:overflowPunct/>
        <w:topLinePunct w:val="0"/>
        <w:autoSpaceDE/>
        <w:autoSpaceDN/>
        <w:bidi w:val="0"/>
        <w:adjustRightInd w:val="0"/>
        <w:snapToGrid w:val="0"/>
        <w:spacing w:line="600" w:lineRule="auto"/>
        <w:jc w:val="center"/>
        <w:textAlignment w:val="auto"/>
        <w:outlineLvl w:val="0"/>
        <w:rPr>
          <w:b/>
          <w:bCs/>
          <w:color w:val="auto"/>
          <w:sz w:val="44"/>
          <w:szCs w:val="44"/>
          <w:highlight w:val="none"/>
        </w:rPr>
      </w:pPr>
      <w:bookmarkStart w:id="0" w:name="_Toc63598810"/>
      <w:r>
        <w:rPr>
          <w:rFonts w:hint="eastAsia" w:ascii="方正小标宋简体" w:hAnsi="方正宋三简体" w:eastAsia="方正小标宋简体" w:cs="Times New Roman"/>
          <w:b/>
          <w:bCs/>
          <w:snapToGrid/>
          <w:color w:val="auto"/>
          <w:kern w:val="2"/>
          <w:sz w:val="44"/>
          <w:szCs w:val="44"/>
          <w:highlight w:val="none"/>
          <w:lang w:val="en-US" w:eastAsia="zh-CN"/>
        </w:rPr>
        <w:t>机电技术</w:t>
      </w:r>
      <w:r>
        <w:rPr>
          <w:rFonts w:hint="eastAsia" w:ascii="方正小标宋简体" w:hAnsi="方正宋三简体" w:eastAsia="方正小标宋简体" w:cs="Times New Roman"/>
          <w:b/>
          <w:bCs/>
          <w:snapToGrid/>
          <w:color w:val="auto"/>
          <w:kern w:val="2"/>
          <w:sz w:val="44"/>
          <w:szCs w:val="44"/>
          <w:highlight w:val="none"/>
        </w:rPr>
        <w:t>应用专业人才培养方案</w:t>
      </w:r>
      <w:bookmarkEnd w:id="0"/>
    </w:p>
    <w:p w14:paraId="4CC9AD2B">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default" w:ascii="宋体" w:hAnsi="宋体" w:eastAsia="宋体" w:cs="宋体"/>
          <w:b/>
          <w:bCs w:val="0"/>
          <w:snapToGrid/>
          <w:color w:val="auto"/>
          <w:kern w:val="2"/>
          <w:sz w:val="24"/>
          <w:szCs w:val="24"/>
          <w:highlight w:val="none"/>
          <w:lang w:val="en-US" w:eastAsia="zh-CN"/>
        </w:rPr>
      </w:pPr>
      <w:bookmarkStart w:id="1" w:name="_Toc1605827111"/>
      <w:r>
        <w:rPr>
          <w:rFonts w:hint="eastAsia" w:ascii="宋体" w:hAnsi="宋体" w:eastAsia="宋体" w:cs="宋体"/>
          <w:b/>
          <w:bCs w:val="0"/>
          <w:snapToGrid/>
          <w:color w:val="auto"/>
          <w:kern w:val="2"/>
          <w:sz w:val="24"/>
          <w:szCs w:val="24"/>
          <w:highlight w:val="none"/>
        </w:rPr>
        <w:t>一、专业名称</w:t>
      </w:r>
      <w:bookmarkEnd w:id="1"/>
      <w:r>
        <w:rPr>
          <w:rFonts w:hint="eastAsia" w:ascii="宋体" w:hAnsi="宋体" w:eastAsia="宋体" w:cs="宋体"/>
          <w:b/>
          <w:bCs w:val="0"/>
          <w:snapToGrid/>
          <w:color w:val="auto"/>
          <w:kern w:val="2"/>
          <w:sz w:val="24"/>
          <w:szCs w:val="24"/>
          <w:highlight w:val="none"/>
          <w:lang w:eastAsia="zh-CN"/>
        </w:rPr>
        <w:t>（</w:t>
      </w:r>
      <w:r>
        <w:rPr>
          <w:rFonts w:hint="eastAsia" w:ascii="宋体" w:hAnsi="宋体" w:eastAsia="宋体" w:cs="宋体"/>
          <w:b/>
          <w:bCs w:val="0"/>
          <w:snapToGrid/>
          <w:color w:val="auto"/>
          <w:kern w:val="2"/>
          <w:sz w:val="24"/>
          <w:szCs w:val="24"/>
          <w:highlight w:val="none"/>
          <w:lang w:val="en-US" w:eastAsia="zh-CN"/>
        </w:rPr>
        <w:t>专业代码）</w:t>
      </w:r>
    </w:p>
    <w:p w14:paraId="149FC263">
      <w:pPr>
        <w:keepNext w:val="0"/>
        <w:keepLines w:val="0"/>
        <w:pageBreakBefore w:val="0"/>
        <w:widowControl w:val="0"/>
        <w:kinsoku/>
        <w:wordWrap/>
        <w:overflowPunct/>
        <w:topLinePunct w:val="0"/>
        <w:autoSpaceDE/>
        <w:autoSpaceDN/>
        <w:bidi w:val="0"/>
        <w:adjustRightInd w:val="0"/>
        <w:snapToGrid w:val="0"/>
        <w:spacing w:before="74" w:line="460" w:lineRule="exact"/>
        <w:ind w:firstLine="516" w:firstLineChars="200"/>
        <w:textAlignment w:val="auto"/>
        <w:rPr>
          <w:rFonts w:hint="eastAsia" w:ascii="宋体" w:hAnsi="宋体" w:eastAsia="宋体" w:cs="宋体"/>
          <w:color w:val="auto"/>
          <w:spacing w:val="9"/>
          <w:sz w:val="24"/>
          <w:szCs w:val="24"/>
          <w:highlight w:val="none"/>
          <w:lang w:val="en-US" w:eastAsia="zh-CN"/>
        </w:rPr>
      </w:pPr>
      <w:bookmarkStart w:id="2" w:name="_Toc1709262728"/>
      <w:r>
        <w:rPr>
          <w:rFonts w:hint="eastAsia" w:ascii="宋体" w:hAnsi="宋体" w:eastAsia="宋体" w:cs="宋体"/>
          <w:color w:val="auto"/>
          <w:spacing w:val="9"/>
          <w:sz w:val="24"/>
          <w:szCs w:val="24"/>
          <w:highlight w:val="none"/>
          <w:lang w:val="en-US" w:eastAsia="zh-CN"/>
        </w:rPr>
        <w:t>机电技术应用（</w:t>
      </w:r>
      <w:r>
        <w:rPr>
          <w:rFonts w:hint="default" w:ascii="宋体" w:hAnsi="宋体" w:eastAsia="宋体" w:cs="宋体"/>
          <w:color w:val="auto"/>
          <w:spacing w:val="9"/>
          <w:sz w:val="24"/>
          <w:szCs w:val="24"/>
          <w:highlight w:val="none"/>
          <w:lang w:val="en-US" w:eastAsia="zh-CN"/>
        </w:rPr>
        <w:t>660301</w:t>
      </w:r>
      <w:r>
        <w:rPr>
          <w:rFonts w:hint="eastAsia" w:ascii="宋体" w:hAnsi="宋体" w:eastAsia="宋体" w:cs="宋体"/>
          <w:color w:val="auto"/>
          <w:spacing w:val="9"/>
          <w:sz w:val="24"/>
          <w:szCs w:val="24"/>
          <w:highlight w:val="none"/>
          <w:lang w:val="en-US" w:eastAsia="zh-CN"/>
        </w:rPr>
        <w:t>）</w:t>
      </w:r>
    </w:p>
    <w:p w14:paraId="51BC607D">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color w:val="auto"/>
          <w:kern w:val="2"/>
          <w:sz w:val="24"/>
          <w:szCs w:val="24"/>
          <w:highlight w:val="none"/>
        </w:rPr>
      </w:pPr>
      <w:r>
        <w:rPr>
          <w:rFonts w:hint="eastAsia" w:ascii="宋体" w:hAnsi="宋体" w:eastAsia="宋体" w:cs="宋体"/>
          <w:b/>
          <w:bCs w:val="0"/>
          <w:snapToGrid/>
          <w:color w:val="auto"/>
          <w:kern w:val="2"/>
          <w:sz w:val="24"/>
          <w:szCs w:val="24"/>
          <w:highlight w:val="none"/>
        </w:rPr>
        <w:t>二、入学</w:t>
      </w:r>
      <w:r>
        <w:rPr>
          <w:rFonts w:hint="eastAsia" w:ascii="宋体" w:hAnsi="宋体" w:eastAsia="宋体" w:cs="宋体"/>
          <w:b/>
          <w:bCs w:val="0"/>
          <w:snapToGrid/>
          <w:color w:val="auto"/>
          <w:kern w:val="2"/>
          <w:sz w:val="24"/>
          <w:szCs w:val="24"/>
          <w:highlight w:val="none"/>
          <w:lang w:val="en-US" w:eastAsia="zh-CN"/>
        </w:rPr>
        <w:t>基本</w:t>
      </w:r>
      <w:r>
        <w:rPr>
          <w:rFonts w:hint="eastAsia" w:ascii="宋体" w:hAnsi="宋体" w:eastAsia="宋体" w:cs="宋体"/>
          <w:b/>
          <w:bCs w:val="0"/>
          <w:snapToGrid/>
          <w:color w:val="auto"/>
          <w:kern w:val="2"/>
          <w:sz w:val="24"/>
          <w:szCs w:val="24"/>
          <w:highlight w:val="none"/>
        </w:rPr>
        <w:t>要求</w:t>
      </w:r>
      <w:bookmarkEnd w:id="2"/>
    </w:p>
    <w:p w14:paraId="0CF2EA5B">
      <w:pPr>
        <w:keepNext w:val="0"/>
        <w:keepLines w:val="0"/>
        <w:pageBreakBefore w:val="0"/>
        <w:widowControl w:val="0"/>
        <w:kinsoku/>
        <w:wordWrap/>
        <w:overflowPunct/>
        <w:topLinePunct w:val="0"/>
        <w:autoSpaceDE/>
        <w:autoSpaceDN/>
        <w:bidi w:val="0"/>
        <w:adjustRightInd w:val="0"/>
        <w:snapToGrid w:val="0"/>
        <w:spacing w:before="74" w:line="460" w:lineRule="exact"/>
        <w:ind w:firstLine="516" w:firstLineChars="200"/>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pacing w:val="9"/>
          <w:sz w:val="24"/>
          <w:szCs w:val="24"/>
          <w:highlight w:val="none"/>
          <w:lang w:val="en-US" w:eastAsia="zh-CN"/>
        </w:rPr>
        <w:t>初级中等学校毕业</w:t>
      </w:r>
      <w:r>
        <w:rPr>
          <w:rFonts w:hint="eastAsia" w:ascii="宋体" w:hAnsi="宋体" w:eastAsia="宋体" w:cs="宋体"/>
          <w:color w:val="auto"/>
          <w:spacing w:val="9"/>
          <w:sz w:val="24"/>
          <w:szCs w:val="24"/>
          <w:highlight w:val="none"/>
        </w:rPr>
        <w:t>或</w:t>
      </w:r>
      <w:r>
        <w:rPr>
          <w:rFonts w:hint="eastAsia" w:ascii="宋体" w:hAnsi="宋体" w:cs="宋体"/>
          <w:color w:val="auto"/>
          <w:spacing w:val="9"/>
          <w:sz w:val="24"/>
          <w:szCs w:val="24"/>
          <w:highlight w:val="none"/>
          <w:lang w:val="en-US" w:eastAsia="zh-CN"/>
        </w:rPr>
        <w:t>具备同等学力</w:t>
      </w:r>
    </w:p>
    <w:p w14:paraId="76D47E51">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bookmarkStart w:id="3" w:name="_Toc689923577"/>
      <w:r>
        <w:rPr>
          <w:rFonts w:hint="eastAsia" w:ascii="宋体" w:hAnsi="宋体" w:eastAsia="宋体" w:cs="宋体"/>
          <w:b/>
          <w:snapToGrid/>
          <w:color w:val="auto"/>
          <w:kern w:val="2"/>
          <w:sz w:val="24"/>
          <w:szCs w:val="24"/>
          <w:highlight w:val="none"/>
        </w:rPr>
        <w:t>三、</w:t>
      </w:r>
      <w:r>
        <w:rPr>
          <w:rFonts w:hint="eastAsia" w:ascii="宋体" w:hAnsi="宋体" w:eastAsia="宋体" w:cs="宋体"/>
          <w:b/>
          <w:snapToGrid/>
          <w:color w:val="auto"/>
          <w:kern w:val="2"/>
          <w:sz w:val="24"/>
          <w:szCs w:val="24"/>
          <w:highlight w:val="none"/>
          <w:lang w:val="en-US" w:eastAsia="zh-CN"/>
        </w:rPr>
        <w:t>基本</w:t>
      </w:r>
      <w:r>
        <w:rPr>
          <w:rFonts w:hint="eastAsia" w:ascii="宋体" w:hAnsi="宋体" w:eastAsia="宋体" w:cs="宋体"/>
          <w:b/>
          <w:snapToGrid/>
          <w:color w:val="auto"/>
          <w:kern w:val="2"/>
          <w:sz w:val="24"/>
          <w:szCs w:val="24"/>
          <w:highlight w:val="none"/>
        </w:rPr>
        <w:t>修业年限</w:t>
      </w:r>
      <w:bookmarkEnd w:id="3"/>
    </w:p>
    <w:p w14:paraId="5E5E8BBB">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492" w:firstLineChars="200"/>
        <w:jc w:val="both"/>
        <w:textAlignment w:val="auto"/>
        <w:outlineLvl w:val="0"/>
        <w:rPr>
          <w:rFonts w:hint="eastAsia" w:ascii="宋体" w:hAnsi="宋体" w:eastAsia="宋体" w:cs="宋体"/>
          <w:color w:val="auto"/>
          <w:spacing w:val="3"/>
          <w:sz w:val="24"/>
          <w:szCs w:val="24"/>
          <w:highlight w:val="none"/>
          <w:lang w:val="en-US" w:eastAsia="zh-CN"/>
        </w:rPr>
      </w:pPr>
      <w:bookmarkStart w:id="4" w:name="_Toc1281348486"/>
      <w:r>
        <w:rPr>
          <w:rFonts w:hint="eastAsia" w:ascii="宋体" w:hAnsi="宋体" w:eastAsia="宋体" w:cs="宋体"/>
          <w:color w:val="auto"/>
          <w:spacing w:val="3"/>
          <w:sz w:val="24"/>
          <w:szCs w:val="24"/>
          <w:highlight w:val="none"/>
          <w:lang w:val="en-US" w:eastAsia="zh-CN"/>
        </w:rPr>
        <w:t>三年</w:t>
      </w:r>
    </w:p>
    <w:p w14:paraId="630B1D87">
      <w:pPr>
        <w:pStyle w:val="8"/>
        <w:keepNext w:val="0"/>
        <w:keepLines w:val="0"/>
        <w:pageBreakBefore w:val="0"/>
        <w:widowControl w:val="0"/>
        <w:numPr>
          <w:ilvl w:val="0"/>
          <w:numId w:val="1"/>
        </w:numPr>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职业面向</w:t>
      </w:r>
      <w:bookmarkEnd w:id="4"/>
    </w:p>
    <w:p w14:paraId="7C7FBBB6">
      <w:pPr>
        <w:pStyle w:val="8"/>
        <w:keepNext w:val="0"/>
        <w:keepLines w:val="0"/>
        <w:pageBreakBefore w:val="0"/>
        <w:widowControl w:val="0"/>
        <w:numPr>
          <w:ilvl w:val="0"/>
          <w:numId w:val="0"/>
        </w:numPr>
        <w:kinsoku/>
        <w:wordWrap/>
        <w:overflowPunct/>
        <w:topLinePunct w:val="0"/>
        <w:autoSpaceDE/>
        <w:autoSpaceDN/>
        <w:bidi w:val="0"/>
        <w:adjustRightInd w:val="0"/>
        <w:snapToGrid w:val="0"/>
        <w:spacing w:beforeLines="0" w:line="240" w:lineRule="auto"/>
        <w:ind w:leftChars="0"/>
        <w:jc w:val="both"/>
        <w:textAlignment w:val="auto"/>
        <w:outlineLvl w:val="0"/>
        <w:rPr>
          <w:rFonts w:hint="eastAsia" w:ascii="宋体" w:hAnsi="宋体" w:eastAsia="宋体" w:cs="宋体"/>
          <w:b/>
          <w:snapToGrid/>
          <w:color w:val="auto"/>
          <w:kern w:val="2"/>
          <w:sz w:val="24"/>
          <w:szCs w:val="24"/>
          <w:highlight w:val="none"/>
          <w:lang w:eastAsia="zh-CN"/>
        </w:rPr>
      </w:pPr>
      <w:r>
        <w:rPr>
          <w:rFonts w:hint="eastAsia" w:ascii="宋体" w:hAnsi="宋体" w:eastAsia="宋体" w:cs="宋体"/>
          <w:b/>
          <w:snapToGrid/>
          <w:color w:val="auto"/>
          <w:kern w:val="2"/>
          <w:sz w:val="24"/>
          <w:szCs w:val="24"/>
          <w:highlight w:val="none"/>
          <w:lang w:eastAsia="zh-CN"/>
        </w:rPr>
        <w:drawing>
          <wp:inline distT="0" distB="0" distL="114300" distR="114300">
            <wp:extent cx="5365115" cy="3405505"/>
            <wp:effectExtent l="0" t="0" r="6985" b="4445"/>
            <wp:docPr id="9"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descr="1"/>
                    <pic:cNvPicPr>
                      <a:picLocks noChangeAspect="1"/>
                    </pic:cNvPicPr>
                  </pic:nvPicPr>
                  <pic:blipFill>
                    <a:blip r:embed="rId8"/>
                    <a:stretch>
                      <a:fillRect/>
                    </a:stretch>
                  </pic:blipFill>
                  <pic:spPr>
                    <a:xfrm>
                      <a:off x="0" y="0"/>
                      <a:ext cx="5365115" cy="3405505"/>
                    </a:xfrm>
                    <a:prstGeom prst="rect">
                      <a:avLst/>
                    </a:prstGeom>
                    <a:noFill/>
                    <a:ln>
                      <a:noFill/>
                    </a:ln>
                  </pic:spPr>
                </pic:pic>
              </a:graphicData>
            </a:graphic>
          </wp:inline>
        </w:drawing>
      </w:r>
    </w:p>
    <w:p w14:paraId="3AB423B8">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方正书宋简体" w:hAnsi="方正书宋简体" w:eastAsia="方正书宋简体" w:cs="方正书宋简体"/>
          <w:b/>
          <w:snapToGrid/>
          <w:color w:val="auto"/>
          <w:kern w:val="2"/>
          <w:sz w:val="24"/>
          <w:szCs w:val="24"/>
          <w:highlight w:val="none"/>
        </w:rPr>
      </w:pPr>
      <w:bookmarkStart w:id="5" w:name="_Toc657992086"/>
      <w:r>
        <w:rPr>
          <w:rFonts w:hint="eastAsia" w:ascii="方正书宋简体" w:hAnsi="方正书宋简体" w:eastAsia="方正书宋简体" w:cs="方正书宋简体"/>
          <w:b/>
          <w:snapToGrid/>
          <w:color w:val="auto"/>
          <w:kern w:val="2"/>
          <w:sz w:val="24"/>
          <w:szCs w:val="24"/>
          <w:highlight w:val="none"/>
        </w:rPr>
        <w:t>五、培养目标</w:t>
      </w:r>
      <w:bookmarkEnd w:id="5"/>
    </w:p>
    <w:p w14:paraId="5970F6AB">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专业培养能够践行社会主义核心价值观，传承技能文明，德智体美劳全面发展，具有良好的人文素养、科学素养、数字素养、职业道德，爱岗敬业的职业精神和精益求精的工匠精神，扎实的文化基础知识、较强的就业创业能力和学习能力，掌握本专业知识和技术技能，具备职业综合素质和行动能力，面向通用设备制造行业，金属制品、机械和设备修理行业的电工、机修钳工、机床装调维修工、机电设备维修工等职业，能够从事机电设备及自动化生产线的安装、调试、运行、维护，机电产品维修与检测，机电产品售后服务等工作的技能人才。</w:t>
      </w:r>
    </w:p>
    <w:p w14:paraId="105E4EE9">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方正书宋简体" w:hAnsi="方正书宋简体" w:eastAsia="方正书宋简体" w:cs="方正书宋简体"/>
          <w:b/>
          <w:snapToGrid/>
          <w:color w:val="auto"/>
          <w:kern w:val="2"/>
          <w:sz w:val="24"/>
          <w:szCs w:val="24"/>
          <w:highlight w:val="none"/>
        </w:rPr>
      </w:pPr>
      <w:r>
        <w:rPr>
          <w:rFonts w:hint="eastAsia" w:ascii="方正书宋简体" w:hAnsi="方正书宋简体" w:eastAsia="方正书宋简体" w:cs="方正书宋简体"/>
          <w:b/>
          <w:snapToGrid/>
          <w:color w:val="auto"/>
          <w:kern w:val="2"/>
          <w:sz w:val="24"/>
          <w:szCs w:val="24"/>
          <w:highlight w:val="none"/>
          <w:lang w:val="en-US" w:eastAsia="zh-CN"/>
        </w:rPr>
        <w:t>六</w:t>
      </w:r>
      <w:r>
        <w:rPr>
          <w:rFonts w:hint="eastAsia" w:ascii="方正书宋简体" w:hAnsi="方正书宋简体" w:eastAsia="方正书宋简体" w:cs="方正书宋简体"/>
          <w:b/>
          <w:snapToGrid/>
          <w:color w:val="auto"/>
          <w:kern w:val="2"/>
          <w:sz w:val="24"/>
          <w:szCs w:val="24"/>
          <w:highlight w:val="none"/>
        </w:rPr>
        <w:t>、培养规格</w:t>
      </w:r>
    </w:p>
    <w:p w14:paraId="27BCEBE6">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本专业毕业生应在素质、知识和能力方面达到以下要求：</w:t>
      </w:r>
    </w:p>
    <w:p w14:paraId="28688A36">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1.素质</w:t>
      </w:r>
    </w:p>
    <w:p w14:paraId="025F77FD">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）坚定拥护中国共产党领导和中国特色社会主义制度，以习近平新时代中国特色社会主义思想为指导，践行社会主义核心价值观，具有坚定的理想信念、深厚的爱国情感和中华民族自豪感；</w:t>
      </w:r>
    </w:p>
    <w:p w14:paraId="73D99E7C">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en-US" w:eastAsia="zh-CN"/>
        </w:rPr>
        <w:t xml:space="preserve">）掌握与本专业对应职业活动相关的国家法律、行业规定，掌握绿色生产、环境保护、安全防护、质量管理等相关知识与技能，了解相关行业文化，具有爱岗敬业的职业精神，遵守职业道德准则和行为规范，具备社会责任感和担当精神； </w:t>
      </w:r>
    </w:p>
    <w:p w14:paraId="4A9B5C1E">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）掌握支撑本专业学习和可持续发展必备的语文、历史、数学、外语（英语等）、信息技术等文化基础知识，具有良好的人文素养与科学素养，具备职业生涯规划能力；</w:t>
      </w:r>
    </w:p>
    <w:p w14:paraId="66497580">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val="en-US" w:eastAsia="zh-CN"/>
        </w:rPr>
        <w:t xml:space="preserve">）具有良好的语言表达能力、文字表达能力、沟通合作能力，具有较强的集体意识和团队合作意识，学习 </w:t>
      </w:r>
      <w:r>
        <w:rPr>
          <w:rFonts w:hint="default" w:ascii="宋体" w:hAnsi="宋体" w:eastAsia="宋体" w:cs="宋体"/>
          <w:color w:val="auto"/>
          <w:sz w:val="24"/>
          <w:szCs w:val="24"/>
          <w:highlight w:val="none"/>
          <w:lang w:val="en-US" w:eastAsia="zh-CN"/>
        </w:rPr>
        <w:t xml:space="preserve">1 </w:t>
      </w:r>
      <w:r>
        <w:rPr>
          <w:rFonts w:hint="eastAsia" w:ascii="宋体" w:hAnsi="宋体" w:eastAsia="宋体" w:cs="宋体"/>
          <w:color w:val="auto"/>
          <w:sz w:val="24"/>
          <w:szCs w:val="24"/>
          <w:highlight w:val="none"/>
          <w:lang w:val="en-US" w:eastAsia="zh-CN"/>
        </w:rPr>
        <w:t>门外语并结合本专业加以运用；</w:t>
      </w:r>
    </w:p>
    <w:p w14:paraId="40D04365">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2.知识</w:t>
      </w:r>
    </w:p>
    <w:p w14:paraId="010C11BE">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（1）掌握机械制图、机械基础、电工基础、电子技术等方面的专业基础理论知识； </w:t>
      </w:r>
    </w:p>
    <w:p w14:paraId="5A194519">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（2）掌握电机与变压器、低压电器与 </w:t>
      </w:r>
      <w:r>
        <w:rPr>
          <w:rFonts w:hint="default" w:ascii="宋体" w:hAnsi="宋体" w:eastAsia="宋体" w:cs="宋体"/>
          <w:color w:val="auto"/>
          <w:sz w:val="24"/>
          <w:szCs w:val="24"/>
          <w:highlight w:val="none"/>
          <w:lang w:val="en-US" w:eastAsia="zh-CN"/>
        </w:rPr>
        <w:t>PLC</w:t>
      </w:r>
      <w:r>
        <w:rPr>
          <w:rFonts w:hint="eastAsia" w:ascii="宋体" w:hAnsi="宋体" w:eastAsia="宋体" w:cs="宋体"/>
          <w:color w:val="auto"/>
          <w:sz w:val="24"/>
          <w:szCs w:val="24"/>
          <w:highlight w:val="none"/>
          <w:lang w:val="en-US" w:eastAsia="zh-CN"/>
        </w:rPr>
        <w:t xml:space="preserve">、气动与液压传动等方面的专业理论知识； </w:t>
      </w:r>
    </w:p>
    <w:p w14:paraId="27786D31">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（3）掌握机械拆装与调试技能，具有正确选择和使用各类常用工量具、仪器仪表的能力； </w:t>
      </w:r>
    </w:p>
    <w:p w14:paraId="0EA2F53F">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（4）掌握电工、装配钳工、机床装调工、机电设备安装与调试等技术技能，具有机电设备安装调试、机床电气故障维修能力； </w:t>
      </w:r>
    </w:p>
    <w:p w14:paraId="722407F0">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（5）掌握自动化生产线安装、调试与运行维护技术技能，具有完成自动化生产线安装、调试、运行维护的能力； </w:t>
      </w:r>
    </w:p>
    <w:p w14:paraId="22F768CA">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（6）掌握信息技术基础知识，具有适应本行业数字化和智能化发展需求的基本数字技能；</w:t>
      </w:r>
    </w:p>
    <w:p w14:paraId="3095A9C7">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3.能力</w:t>
      </w:r>
    </w:p>
    <w:p w14:paraId="6AB5AC2F">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lang w:val="en-US" w:eastAsia="zh-CN"/>
        </w:rPr>
      </w:pPr>
      <w:bookmarkStart w:id="6" w:name="_Toc1479690999"/>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 xml:space="preserve">）具有终身学习和可持续发展的能力，具有一定的分析问题和解决问题的能力； </w:t>
      </w:r>
    </w:p>
    <w:p w14:paraId="2CE96C0F">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en-US" w:eastAsia="zh-CN"/>
        </w:rPr>
        <w:t xml:space="preserve">）掌握身体运动的基本知识和至少 </w:t>
      </w:r>
      <w:r>
        <w:rPr>
          <w:rFonts w:hint="default" w:ascii="宋体" w:hAnsi="宋体" w:eastAsia="宋体" w:cs="宋体"/>
          <w:color w:val="auto"/>
          <w:sz w:val="24"/>
          <w:szCs w:val="24"/>
          <w:highlight w:val="none"/>
          <w:lang w:val="en-US" w:eastAsia="zh-CN"/>
        </w:rPr>
        <w:t xml:space="preserve">1 </w:t>
      </w:r>
      <w:r>
        <w:rPr>
          <w:rFonts w:hint="eastAsia" w:ascii="宋体" w:hAnsi="宋体" w:eastAsia="宋体" w:cs="宋体"/>
          <w:color w:val="auto"/>
          <w:sz w:val="24"/>
          <w:szCs w:val="24"/>
          <w:highlight w:val="none"/>
          <w:lang w:val="en-US" w:eastAsia="zh-CN"/>
        </w:rPr>
        <w:t xml:space="preserve">项体育运动技能，养成良好的运动习惯、卫生习惯和行为习惯；具备一定的心理调适能力； </w:t>
      </w:r>
    </w:p>
    <w:p w14:paraId="070F068F">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 xml:space="preserve">）掌握必备的美育知识，具有一定的文化修养、审美能力，形成至少 </w:t>
      </w:r>
      <w:r>
        <w:rPr>
          <w:rFonts w:hint="default" w:ascii="宋体" w:hAnsi="宋体" w:eastAsia="宋体" w:cs="宋体"/>
          <w:color w:val="auto"/>
          <w:sz w:val="24"/>
          <w:szCs w:val="24"/>
          <w:highlight w:val="none"/>
          <w:lang w:val="en-US" w:eastAsia="zh-CN"/>
        </w:rPr>
        <w:t xml:space="preserve">1 </w:t>
      </w:r>
      <w:r>
        <w:rPr>
          <w:rFonts w:hint="eastAsia" w:ascii="宋体" w:hAnsi="宋体" w:eastAsia="宋体" w:cs="宋体"/>
          <w:color w:val="auto"/>
          <w:sz w:val="24"/>
          <w:szCs w:val="24"/>
          <w:highlight w:val="none"/>
          <w:lang w:val="en-US" w:eastAsia="zh-CN"/>
        </w:rPr>
        <w:t xml:space="preserve">项艺术特长或爱好； </w:t>
      </w:r>
    </w:p>
    <w:p w14:paraId="0A44983B">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val="en-US" w:eastAsia="zh-CN"/>
        </w:rPr>
        <w:t>）树立正确的劳动观，尊重劳动，热爱劳动，具备与本专业职业发展相适应的劳动素 养，弘扬劳模精神、劳动精神、工匠精神，弘扬劳动光荣、技能宝贵、创造伟大的时代风尚。</w:t>
      </w:r>
    </w:p>
    <w:p w14:paraId="0E30AF14">
      <w:pPr>
        <w:keepNext w:val="0"/>
        <w:keepLines w:val="0"/>
        <w:pageBreakBefore w:val="0"/>
        <w:wordWrap/>
        <w:overflowPunct/>
        <w:topLinePunct w:val="0"/>
        <w:bidi w:val="0"/>
        <w:adjustRightInd w:val="0"/>
        <w:snapToGrid w:val="0"/>
        <w:spacing w:line="460" w:lineRule="exact"/>
        <w:outlineLvl w:val="0"/>
        <w:rPr>
          <w:rFonts w:hint="eastAsia" w:ascii="宋体" w:hAnsi="宋体" w:eastAsia="宋体" w:cs="宋体"/>
          <w:b/>
          <w:bCs/>
          <w:color w:val="auto"/>
          <w:sz w:val="24"/>
          <w:szCs w:val="24"/>
          <w:highlight w:val="none"/>
        </w:rPr>
      </w:pPr>
      <w:r>
        <w:rPr>
          <w:rFonts w:hint="eastAsia" w:ascii="宋体" w:hAnsi="宋体" w:cs="宋体"/>
          <w:b/>
          <w:bCs/>
          <w:color w:val="auto"/>
          <w:sz w:val="24"/>
          <w:szCs w:val="24"/>
          <w:highlight w:val="none"/>
          <w:lang w:val="en-US" w:eastAsia="zh-CN"/>
        </w:rPr>
        <w:t>七</w:t>
      </w:r>
      <w:r>
        <w:rPr>
          <w:rFonts w:hint="eastAsia" w:ascii="宋体" w:hAnsi="宋体" w:eastAsia="宋体" w:cs="宋体"/>
          <w:b/>
          <w:bCs/>
          <w:color w:val="auto"/>
          <w:sz w:val="24"/>
          <w:szCs w:val="24"/>
          <w:highlight w:val="none"/>
        </w:rPr>
        <w:t>、课程设置</w:t>
      </w:r>
      <w:bookmarkEnd w:id="6"/>
    </w:p>
    <w:p w14:paraId="7E47F193">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本专业课程设置分为公共基础课程和专业课程。</w:t>
      </w:r>
    </w:p>
    <w:p w14:paraId="20B7AE87">
      <w:pPr>
        <w:pStyle w:val="2"/>
        <w:keepNext w:val="0"/>
        <w:keepLines w:val="0"/>
        <w:pageBreakBefore w:val="0"/>
        <w:wordWrap/>
        <w:overflowPunct/>
        <w:topLinePunct w:val="0"/>
        <w:bidi w:val="0"/>
        <w:adjustRightInd w:val="0"/>
        <w:snapToGrid w:val="0"/>
        <w:spacing w:line="460" w:lineRule="exact"/>
        <w:ind w:firstLine="480" w:firstLineChars="200"/>
        <w:rPr>
          <w:rFonts w:hint="default" w:eastAsia="宋体"/>
          <w:color w:val="auto"/>
          <w:sz w:val="24"/>
          <w:szCs w:val="24"/>
          <w:highlight w:val="none"/>
          <w:lang w:val="en-US" w:eastAsia="zh-CN"/>
        </w:rPr>
      </w:pPr>
      <w:r>
        <w:rPr>
          <w:rFonts w:hint="eastAsia" w:ascii="宋体" w:hAnsi="宋体" w:cs="宋体"/>
          <w:color w:val="auto"/>
          <w:sz w:val="24"/>
          <w:szCs w:val="24"/>
          <w:highlight w:val="none"/>
          <w:lang w:val="en-US" w:eastAsia="zh-CN"/>
        </w:rPr>
        <w:t>1.</w:t>
      </w:r>
      <w:r>
        <w:rPr>
          <w:rFonts w:hint="eastAsia" w:ascii="宋体" w:hAnsi="宋体" w:eastAsia="宋体" w:cs="宋体"/>
          <w:color w:val="auto"/>
          <w:sz w:val="24"/>
          <w:szCs w:val="24"/>
          <w:highlight w:val="none"/>
        </w:rPr>
        <w:t>公共基础课程</w:t>
      </w:r>
    </w:p>
    <w:p w14:paraId="18A4E408">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color w:val="auto"/>
          <w:sz w:val="24"/>
          <w:szCs w:val="24"/>
          <w:highlight w:val="none"/>
        </w:rPr>
      </w:pPr>
      <w:r>
        <w:rPr>
          <w:rFonts w:hint="eastAsia" w:ascii="宋体" w:hAnsi="宋体" w:eastAsia="宋体" w:cs="宋体"/>
          <w:color w:val="auto"/>
          <w:sz w:val="24"/>
          <w:szCs w:val="24"/>
          <w:highlight w:val="none"/>
        </w:rPr>
        <w:t>公共基础课程包括思想政治、语文、历史、数学、外语（英语等）、信息技术、体育与健康、艺术、劳动教育等等必修课</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将党史国史、国家安全教育、中华优秀传统文化、物理、化学、职业发展与就业指导、职业素养、创新创业教育等列为必修课程或限定选修课程。</w:t>
      </w:r>
    </w:p>
    <w:p w14:paraId="723127CF">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公共基础必修课程</w:t>
      </w:r>
      <w:r>
        <w:rPr>
          <w:rFonts w:hint="eastAsia" w:ascii="宋体" w:hAnsi="宋体" w:eastAsia="宋体" w:cs="宋体"/>
          <w:color w:val="auto"/>
          <w:sz w:val="24"/>
          <w:szCs w:val="24"/>
          <w:highlight w:val="none"/>
          <w:lang w:val="en-US" w:eastAsia="zh-CN"/>
        </w:rPr>
        <w:t>简介</w:t>
      </w:r>
    </w:p>
    <w:p w14:paraId="42C4FF17">
      <w:pPr>
        <w:pStyle w:val="3"/>
        <w:keepNext w:val="0"/>
        <w:keepLines w:val="0"/>
        <w:pageBreakBefore w:val="0"/>
        <w:numPr>
          <w:ilvl w:val="0"/>
          <w:numId w:val="0"/>
        </w:numPr>
        <w:wordWrap/>
        <w:overflowPunct/>
        <w:topLinePunct w:val="0"/>
        <w:bidi w:val="0"/>
        <w:adjustRightInd w:val="0"/>
        <w:snapToGrid w:val="0"/>
        <w:spacing w:line="24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drawing>
          <wp:inline distT="0" distB="0" distL="114300" distR="114300">
            <wp:extent cx="5363845" cy="3489960"/>
            <wp:effectExtent l="0" t="0" r="8255" b="15240"/>
            <wp:docPr id="2"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
                    <pic:cNvPicPr>
                      <a:picLocks noChangeAspect="1"/>
                    </pic:cNvPicPr>
                  </pic:nvPicPr>
                  <pic:blipFill>
                    <a:blip r:embed="rId9"/>
                    <a:stretch>
                      <a:fillRect/>
                    </a:stretch>
                  </pic:blipFill>
                  <pic:spPr>
                    <a:xfrm>
                      <a:off x="0" y="0"/>
                      <a:ext cx="5363845" cy="3489960"/>
                    </a:xfrm>
                    <a:prstGeom prst="rect">
                      <a:avLst/>
                    </a:prstGeom>
                    <a:noFill/>
                    <a:ln>
                      <a:noFill/>
                    </a:ln>
                  </pic:spPr>
                </pic:pic>
              </a:graphicData>
            </a:graphic>
          </wp:inline>
        </w:drawing>
      </w:r>
    </w:p>
    <w:p w14:paraId="4441F950">
      <w:pPr>
        <w:pStyle w:val="3"/>
        <w:spacing w:before="4"/>
        <w:jc w:val="center"/>
        <w:rPr>
          <w:color w:val="auto"/>
          <w:sz w:val="11"/>
          <w:highlight w:val="none"/>
        </w:rPr>
      </w:pPr>
    </w:p>
    <w:p w14:paraId="0FCAE4A5">
      <w:pPr>
        <w:pStyle w:val="2"/>
        <w:keepNext w:val="0"/>
        <w:keepLines w:val="0"/>
        <w:pageBreakBefore w:val="0"/>
        <w:wordWrap/>
        <w:overflowPunct/>
        <w:topLinePunct w:val="0"/>
        <w:bidi w:val="0"/>
        <w:adjustRightInd w:val="0"/>
        <w:snapToGrid w:val="0"/>
        <w:spacing w:line="240" w:lineRule="auto"/>
        <w:ind w:firstLine="480" w:firstLineChars="200"/>
        <w:jc w:val="both"/>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drawing>
          <wp:inline distT="0" distB="0" distL="114300" distR="114300">
            <wp:extent cx="5872480" cy="4526915"/>
            <wp:effectExtent l="0" t="0" r="13970" b="6985"/>
            <wp:docPr id="1" name="图片 3"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3"/>
                    <pic:cNvPicPr>
                      <a:picLocks noChangeAspect="1"/>
                    </pic:cNvPicPr>
                  </pic:nvPicPr>
                  <pic:blipFill>
                    <a:blip r:embed="rId10"/>
                    <a:stretch>
                      <a:fillRect/>
                    </a:stretch>
                  </pic:blipFill>
                  <pic:spPr>
                    <a:xfrm>
                      <a:off x="0" y="0"/>
                      <a:ext cx="5872480" cy="4526915"/>
                    </a:xfrm>
                    <a:prstGeom prst="rect">
                      <a:avLst/>
                    </a:prstGeom>
                    <a:noFill/>
                    <a:ln>
                      <a:noFill/>
                    </a:ln>
                  </pic:spPr>
                </pic:pic>
              </a:graphicData>
            </a:graphic>
          </wp:inline>
        </w:drawing>
      </w:r>
    </w:p>
    <w:p w14:paraId="451E89FB">
      <w:pPr>
        <w:jc w:val="center"/>
        <w:rPr>
          <w:rFonts w:hint="eastAsia"/>
          <w:lang w:val="en-US" w:eastAsia="zh-CN"/>
        </w:rPr>
      </w:pPr>
      <w:r>
        <w:rPr>
          <w:rFonts w:hint="eastAsia"/>
          <w:lang w:val="en-US" w:eastAsia="zh-CN"/>
        </w:rPr>
        <w:drawing>
          <wp:inline distT="0" distB="0" distL="114300" distR="114300">
            <wp:extent cx="6005195" cy="3997325"/>
            <wp:effectExtent l="0" t="0" r="14605" b="3175"/>
            <wp:docPr id="10" name="图片 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descr="4"/>
                    <pic:cNvPicPr>
                      <a:picLocks noChangeAspect="1"/>
                    </pic:cNvPicPr>
                  </pic:nvPicPr>
                  <pic:blipFill>
                    <a:blip r:embed="rId11"/>
                    <a:stretch>
                      <a:fillRect/>
                    </a:stretch>
                  </pic:blipFill>
                  <pic:spPr>
                    <a:xfrm>
                      <a:off x="0" y="0"/>
                      <a:ext cx="6005195" cy="3997325"/>
                    </a:xfrm>
                    <a:prstGeom prst="rect">
                      <a:avLst/>
                    </a:prstGeom>
                    <a:noFill/>
                    <a:ln>
                      <a:noFill/>
                    </a:ln>
                  </pic:spPr>
                </pic:pic>
              </a:graphicData>
            </a:graphic>
          </wp:inline>
        </w:drawing>
      </w:r>
    </w:p>
    <w:p w14:paraId="6CE249D9">
      <w:pPr>
        <w:pStyle w:val="2"/>
        <w:keepNext w:val="0"/>
        <w:keepLines w:val="0"/>
        <w:pageBreakBefore w:val="0"/>
        <w:wordWrap/>
        <w:overflowPunct/>
        <w:topLinePunct w:val="0"/>
        <w:bidi w:val="0"/>
        <w:adjustRightInd w:val="0"/>
        <w:snapToGrid w:val="0"/>
        <w:spacing w:line="460" w:lineRule="exact"/>
        <w:ind w:firstLine="480" w:firstLineChars="200"/>
        <w:rPr>
          <w:rFonts w:hint="default" w:eastAsia="宋体"/>
          <w:color w:val="auto"/>
          <w:sz w:val="24"/>
          <w:szCs w:val="24"/>
          <w:highlight w:val="none"/>
          <w:lang w:val="en-US" w:eastAsia="zh-CN"/>
        </w:rPr>
      </w:pPr>
      <w:r>
        <w:rPr>
          <w:rFonts w:hint="eastAsia" w:ascii="宋体" w:hAnsi="宋体" w:cs="宋体"/>
          <w:color w:val="auto"/>
          <w:sz w:val="24"/>
          <w:szCs w:val="24"/>
          <w:highlight w:val="none"/>
          <w:lang w:val="en-US" w:eastAsia="zh-CN"/>
        </w:rPr>
        <w:t>2.专业课程</w:t>
      </w:r>
    </w:p>
    <w:p w14:paraId="584F48C3">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专业课程包括专业</w:t>
      </w:r>
      <w:r>
        <w:rPr>
          <w:rFonts w:hint="eastAsia" w:ascii="宋体" w:hAnsi="宋体" w:cs="宋体"/>
          <w:color w:val="auto"/>
          <w:sz w:val="24"/>
          <w:szCs w:val="24"/>
          <w:highlight w:val="none"/>
          <w:lang w:val="en-US" w:eastAsia="zh-CN"/>
        </w:rPr>
        <w:t>基础</w:t>
      </w:r>
      <w:r>
        <w:rPr>
          <w:rFonts w:hint="eastAsia" w:ascii="宋体" w:hAnsi="宋体" w:eastAsia="宋体" w:cs="宋体"/>
          <w:color w:val="auto"/>
          <w:sz w:val="24"/>
          <w:szCs w:val="24"/>
          <w:highlight w:val="none"/>
        </w:rPr>
        <w:t>课程、专业核心课程和专业拓展课程</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专业基础课程是需要前置学习的基础性理论知识和技能构成的课程，是为专业核心课程提供理论和技能支撑的基础课程；专业核心课程是根据岗位工作内容、典型工作任务设置的课程，是培养核心职业能力的主干课程；专业拓展课程是根据学生发展需求横向拓展和纵向深化的课程，是提升综合职业能力的延展课程。实习实训是专业课程教学的重要内容，含校内外实训、综合实训、</w:t>
      </w:r>
      <w:r>
        <w:rPr>
          <w:rFonts w:hint="eastAsia" w:ascii="宋体" w:hAnsi="宋体" w:eastAsia="宋体" w:cs="宋体"/>
          <w:color w:val="auto"/>
          <w:sz w:val="24"/>
          <w:szCs w:val="24"/>
          <w:highlight w:val="none"/>
          <w:lang w:val="en-US" w:eastAsia="zh-CN"/>
        </w:rPr>
        <w:t>岗位实习</w:t>
      </w:r>
      <w:r>
        <w:rPr>
          <w:rFonts w:hint="eastAsia" w:ascii="宋体" w:hAnsi="宋体" w:eastAsia="宋体" w:cs="宋体"/>
          <w:color w:val="auto"/>
          <w:sz w:val="24"/>
          <w:szCs w:val="24"/>
          <w:highlight w:val="none"/>
        </w:rPr>
        <w:t>等多种形式</w:t>
      </w:r>
      <w:r>
        <w:rPr>
          <w:rFonts w:hint="eastAsia" w:ascii="宋体" w:hAnsi="宋体" w:cs="宋体"/>
          <w:color w:val="auto"/>
          <w:sz w:val="24"/>
          <w:szCs w:val="24"/>
          <w:highlight w:val="none"/>
          <w:lang w:eastAsia="zh-CN"/>
        </w:rPr>
        <w:t>。</w:t>
      </w:r>
    </w:p>
    <w:p w14:paraId="14314BAD">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pacing w:val="10"/>
          <w:position w:val="1"/>
          <w:sz w:val="24"/>
          <w:szCs w:val="24"/>
          <w:highlight w:val="none"/>
          <w:lang w:val="en-US" w:eastAsia="zh-CN"/>
        </w:rPr>
      </w:pPr>
      <w:r>
        <w:rPr>
          <w:rFonts w:ascii="宋体" w:hAnsi="宋体" w:eastAsia="宋体" w:cs="宋体"/>
          <w:color w:val="auto"/>
          <w:spacing w:val="10"/>
          <w:position w:val="1"/>
          <w:sz w:val="24"/>
          <w:szCs w:val="24"/>
          <w:highlight w:val="none"/>
        </w:rPr>
        <w:t>专业核心课程</w:t>
      </w:r>
      <w:r>
        <w:rPr>
          <w:rFonts w:hint="eastAsia" w:ascii="宋体" w:hAnsi="宋体" w:cs="宋体"/>
          <w:color w:val="auto"/>
          <w:spacing w:val="10"/>
          <w:position w:val="1"/>
          <w:sz w:val="24"/>
          <w:szCs w:val="24"/>
          <w:highlight w:val="none"/>
          <w:lang w:val="en-US" w:eastAsia="zh-CN"/>
        </w:rPr>
        <w:t>简介</w:t>
      </w:r>
    </w:p>
    <w:p w14:paraId="2C1E831B">
      <w:pPr>
        <w:spacing w:line="117" w:lineRule="exact"/>
        <w:jc w:val="center"/>
        <w:rPr>
          <w:color w:val="auto"/>
          <w:highlight w:val="none"/>
        </w:rPr>
      </w:pPr>
    </w:p>
    <w:tbl>
      <w:tblPr>
        <w:tblStyle w:val="9"/>
        <w:tblW w:w="5172" w:type="pct"/>
        <w:tblInd w:w="0" w:type="dxa"/>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547"/>
        <w:gridCol w:w="1581"/>
        <w:gridCol w:w="2419"/>
        <w:gridCol w:w="4199"/>
      </w:tblGrid>
      <w:tr w14:paraId="3FD765F6">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546" w:hRule="atLeast"/>
        </w:trPr>
        <w:tc>
          <w:tcPr>
            <w:tcW w:w="312" w:type="pct"/>
            <w:noWrap w:val="0"/>
            <w:vAlign w:val="center"/>
          </w:tcPr>
          <w:p w14:paraId="46B131DA">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7"/>
                <w:sz w:val="21"/>
                <w:szCs w:val="21"/>
                <w:highlight w:val="none"/>
              </w:rPr>
              <w:t>序</w:t>
            </w:r>
            <w:r>
              <w:rPr>
                <w:rFonts w:hint="eastAsia" w:ascii="宋体" w:hAnsi="宋体" w:eastAsia="宋体" w:cs="宋体"/>
                <w:color w:val="auto"/>
                <w:spacing w:val="6"/>
                <w:sz w:val="21"/>
                <w:szCs w:val="21"/>
                <w:highlight w:val="none"/>
              </w:rPr>
              <w:t>号</w:t>
            </w:r>
          </w:p>
        </w:tc>
        <w:tc>
          <w:tcPr>
            <w:tcW w:w="903" w:type="pct"/>
            <w:noWrap w:val="0"/>
            <w:vAlign w:val="center"/>
          </w:tcPr>
          <w:p w14:paraId="1D44F1E1">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9"/>
                <w:sz w:val="21"/>
                <w:szCs w:val="21"/>
                <w:highlight w:val="none"/>
              </w:rPr>
              <w:t>课</w:t>
            </w:r>
            <w:r>
              <w:rPr>
                <w:rFonts w:hint="eastAsia" w:ascii="宋体" w:hAnsi="宋体" w:eastAsia="宋体" w:cs="宋体"/>
                <w:color w:val="auto"/>
                <w:spacing w:val="8"/>
                <w:sz w:val="21"/>
                <w:szCs w:val="21"/>
                <w:highlight w:val="none"/>
              </w:rPr>
              <w:t>程名称</w:t>
            </w:r>
          </w:p>
        </w:tc>
        <w:tc>
          <w:tcPr>
            <w:tcW w:w="1382" w:type="pct"/>
            <w:noWrap w:val="0"/>
            <w:vAlign w:val="center"/>
          </w:tcPr>
          <w:p w14:paraId="55744762">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9"/>
                <w:sz w:val="21"/>
                <w:szCs w:val="21"/>
                <w:highlight w:val="none"/>
              </w:rPr>
              <w:t>课</w:t>
            </w:r>
            <w:r>
              <w:rPr>
                <w:rFonts w:hint="eastAsia" w:ascii="宋体" w:hAnsi="宋体" w:eastAsia="宋体" w:cs="宋体"/>
                <w:color w:val="auto"/>
                <w:spacing w:val="8"/>
                <w:sz w:val="21"/>
                <w:szCs w:val="21"/>
                <w:highlight w:val="none"/>
              </w:rPr>
              <w:t>程目标</w:t>
            </w:r>
          </w:p>
        </w:tc>
        <w:tc>
          <w:tcPr>
            <w:tcW w:w="2400" w:type="pct"/>
            <w:noWrap w:val="0"/>
            <w:vAlign w:val="center"/>
          </w:tcPr>
          <w:p w14:paraId="35A79182">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9"/>
                <w:sz w:val="21"/>
                <w:szCs w:val="21"/>
                <w:highlight w:val="none"/>
              </w:rPr>
              <w:t>主要内容和教学要求</w:t>
            </w:r>
          </w:p>
        </w:tc>
      </w:tr>
      <w:tr w14:paraId="74FE8FD8">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2655" w:hRule="atLeast"/>
        </w:trPr>
        <w:tc>
          <w:tcPr>
            <w:tcW w:w="312" w:type="pct"/>
            <w:noWrap w:val="0"/>
            <w:vAlign w:val="center"/>
          </w:tcPr>
          <w:p w14:paraId="1B397271">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rPr>
              <w:t>1</w:t>
            </w:r>
          </w:p>
        </w:tc>
        <w:tc>
          <w:tcPr>
            <w:tcW w:w="903" w:type="pct"/>
            <w:noWrap w:val="0"/>
            <w:vAlign w:val="center"/>
          </w:tcPr>
          <w:p w14:paraId="27F00472">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气动与液压传动</w:t>
            </w:r>
          </w:p>
          <w:p w14:paraId="43E504AC">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p>
        </w:tc>
        <w:tc>
          <w:tcPr>
            <w:tcW w:w="1382" w:type="pct"/>
            <w:noWrap w:val="0"/>
            <w:vAlign w:val="center"/>
          </w:tcPr>
          <w:p w14:paraId="1414E323">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 xml:space="preserve">①根据各种气动、液压元件图形符号和回路图选择气动、液压元件 </w:t>
            </w:r>
          </w:p>
          <w:p w14:paraId="12F8BAD6">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 xml:space="preserve">并安装。 </w:t>
            </w:r>
          </w:p>
          <w:p w14:paraId="6F1484E9">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 xml:space="preserve">②根据生产要求设计绘制气动、液压系统图。 </w:t>
            </w:r>
          </w:p>
          <w:p w14:paraId="0D47510F">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③气动、液压系统安装、调试、使用及常见故障处理。</w:t>
            </w:r>
          </w:p>
        </w:tc>
        <w:tc>
          <w:tcPr>
            <w:tcW w:w="2400" w:type="pct"/>
            <w:noWrap w:val="0"/>
            <w:vAlign w:val="center"/>
          </w:tcPr>
          <w:p w14:paraId="58C289B3">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①掌握气动与液压系统的基本原理。</w:t>
            </w:r>
          </w:p>
          <w:p w14:paraId="4A9F7608">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②能识读和绘制常用气动与液压元件图形符号。</w:t>
            </w:r>
          </w:p>
          <w:p w14:paraId="4C8D8C2A">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 xml:space="preserve">③能读懂气动与液压基本回路图，并能 </w:t>
            </w:r>
          </w:p>
          <w:p w14:paraId="1F7AC381">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根据回路要求选择适合的气动、液压元件；能排除气动、液压回路简单故障。</w:t>
            </w:r>
          </w:p>
        </w:tc>
      </w:tr>
      <w:tr w14:paraId="48E7B10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538" w:hRule="atLeast"/>
        </w:trPr>
        <w:tc>
          <w:tcPr>
            <w:tcW w:w="312" w:type="pct"/>
            <w:noWrap w:val="0"/>
            <w:vAlign w:val="center"/>
          </w:tcPr>
          <w:p w14:paraId="6A9C861F">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2</w:t>
            </w:r>
          </w:p>
        </w:tc>
        <w:tc>
          <w:tcPr>
            <w:tcW w:w="903" w:type="pct"/>
            <w:noWrap w:val="0"/>
            <w:vAlign w:val="center"/>
          </w:tcPr>
          <w:p w14:paraId="0055DBC6">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传感器技术应用</w:t>
            </w:r>
          </w:p>
          <w:p w14:paraId="0762319A">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lang w:val="en-US" w:eastAsia="zh-CN"/>
              </w:rPr>
            </w:pPr>
          </w:p>
          <w:p w14:paraId="62ACFD2C">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lang w:val="en-US" w:eastAsia="zh-CN"/>
              </w:rPr>
            </w:pPr>
          </w:p>
        </w:tc>
        <w:tc>
          <w:tcPr>
            <w:tcW w:w="1382" w:type="pct"/>
            <w:noWrap w:val="0"/>
            <w:vAlign w:val="center"/>
          </w:tcPr>
          <w:p w14:paraId="37B66203">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①正确选用常用传感器。</w:t>
            </w:r>
          </w:p>
          <w:p w14:paraId="18587EFC">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②常用传感器的接线、线路检测与故障处理。</w:t>
            </w:r>
          </w:p>
          <w:p w14:paraId="5B24DB71">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③检测与使用新型传感器。</w:t>
            </w:r>
          </w:p>
        </w:tc>
        <w:tc>
          <w:tcPr>
            <w:tcW w:w="2400" w:type="pct"/>
            <w:noWrap w:val="0"/>
            <w:vAlign w:val="center"/>
          </w:tcPr>
          <w:p w14:paraId="3A23CC65">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 xml:space="preserve">①理解和熟悉常用传感器的工作原理、 </w:t>
            </w:r>
          </w:p>
          <w:p w14:paraId="36A05B04">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 xml:space="preserve">基本结构及相应的测量电路和实际应用。 </w:t>
            </w:r>
          </w:p>
          <w:p w14:paraId="5CA74F27">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 xml:space="preserve">②了解新型传感器的工作原理及应用， </w:t>
            </w:r>
          </w:p>
          <w:p w14:paraId="2DEF28CA">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掌握常用传感器的测量方法。</w:t>
            </w:r>
          </w:p>
          <w:p w14:paraId="618BC74F">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left"/>
              <w:textAlignment w:val="baseline"/>
              <w:rPr>
                <w:rFonts w:hint="eastAsia" w:ascii="宋体" w:hAnsi="宋体" w:eastAsia="宋体" w:cs="宋体"/>
                <w:color w:val="auto"/>
                <w:spacing w:val="9"/>
                <w:sz w:val="21"/>
                <w:szCs w:val="21"/>
                <w:highlight w:val="none"/>
              </w:rPr>
            </w:pPr>
          </w:p>
        </w:tc>
      </w:tr>
      <w:tr w14:paraId="4A2D3474">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2960" w:hRule="atLeast"/>
        </w:trPr>
        <w:tc>
          <w:tcPr>
            <w:tcW w:w="312" w:type="pct"/>
            <w:noWrap w:val="0"/>
            <w:vAlign w:val="center"/>
          </w:tcPr>
          <w:p w14:paraId="602BAFCA">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rPr>
              <w:t>3</w:t>
            </w:r>
          </w:p>
        </w:tc>
        <w:tc>
          <w:tcPr>
            <w:tcW w:w="903" w:type="pct"/>
            <w:noWrap w:val="0"/>
            <w:vAlign w:val="center"/>
          </w:tcPr>
          <w:p w14:paraId="0841F4D0">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电机与变压器</w:t>
            </w:r>
          </w:p>
        </w:tc>
        <w:tc>
          <w:tcPr>
            <w:tcW w:w="1382" w:type="pct"/>
            <w:noWrap w:val="0"/>
            <w:vAlign w:val="center"/>
          </w:tcPr>
          <w:p w14:paraId="614F2F20">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①检测常用电动机、变压器。</w:t>
            </w:r>
          </w:p>
          <w:p w14:paraId="14C7B9FB">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②变压器的单机、联动运行。</w:t>
            </w:r>
          </w:p>
          <w:p w14:paraId="5B5B43FB">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③电动机的运行、调速、制动。</w:t>
            </w:r>
          </w:p>
          <w:p w14:paraId="21C140E5">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④常用电动机、变压器故障诊断与排除。</w:t>
            </w:r>
          </w:p>
        </w:tc>
        <w:tc>
          <w:tcPr>
            <w:tcW w:w="2400" w:type="pct"/>
            <w:noWrap w:val="0"/>
            <w:vAlign w:val="center"/>
          </w:tcPr>
          <w:p w14:paraId="7E4DE4C6">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①掌握变压器、异步电动机、直流电动机</w:t>
            </w:r>
          </w:p>
          <w:p w14:paraId="6060F8C4">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的结构、原理、主要特性、使用和维护知识。</w:t>
            </w:r>
          </w:p>
          <w:p w14:paraId="71533915">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②理解同步电动机和特种电动机的基本概念。</w:t>
            </w:r>
          </w:p>
          <w:p w14:paraId="2E670892">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③能进行电动机的故障判断、分析和处理。</w:t>
            </w:r>
          </w:p>
        </w:tc>
      </w:tr>
      <w:tr w14:paraId="24D055B6">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2582" w:hRule="atLeast"/>
        </w:trPr>
        <w:tc>
          <w:tcPr>
            <w:tcW w:w="312" w:type="pct"/>
            <w:noWrap w:val="0"/>
            <w:vAlign w:val="center"/>
          </w:tcPr>
          <w:p w14:paraId="79C4C47A">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1E8A5CB2">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35C8EF9A">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2CBDEE75">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286B3A24">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rPr>
              <w:t>4</w:t>
            </w:r>
          </w:p>
        </w:tc>
        <w:tc>
          <w:tcPr>
            <w:tcW w:w="903" w:type="pct"/>
            <w:noWrap w:val="0"/>
            <w:vAlign w:val="center"/>
          </w:tcPr>
          <w:p w14:paraId="36AF5A35">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7AA160BF">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17371F9C">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300A2EA8">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lang w:val="en-US" w:eastAsia="zh-CN"/>
              </w:rPr>
            </w:pPr>
          </w:p>
          <w:p w14:paraId="0E8E8003">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低压电器与PLC</w:t>
            </w:r>
          </w:p>
          <w:p w14:paraId="13398E55">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p>
        </w:tc>
        <w:tc>
          <w:tcPr>
            <w:tcW w:w="1382" w:type="pct"/>
            <w:noWrap w:val="0"/>
            <w:vAlign w:val="center"/>
          </w:tcPr>
          <w:p w14:paraId="1F384661">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①低压电器检测与故障处理。</w:t>
            </w:r>
          </w:p>
          <w:p w14:paraId="7C4C0CA4">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②根据 电路图正确安装电气控制系统。</w:t>
            </w:r>
          </w:p>
          <w:p w14:paraId="2634591B">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③用编程软件编制 PLC 程序。</w:t>
            </w:r>
          </w:p>
          <w:p w14:paraId="40BBFC01">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9"/>
                <w:sz w:val="21"/>
                <w:szCs w:val="21"/>
                <w:highlight w:val="none"/>
                <w:lang w:val="en-US" w:eastAsia="zh-CN"/>
              </w:rPr>
              <w:t>④ PLC的运行及故障检测。</w:t>
            </w:r>
          </w:p>
        </w:tc>
        <w:tc>
          <w:tcPr>
            <w:tcW w:w="2400" w:type="pct"/>
            <w:noWrap w:val="0"/>
            <w:vAlign w:val="center"/>
          </w:tcPr>
          <w:p w14:paraId="76D31CA1">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9"/>
                <w:sz w:val="21"/>
                <w:szCs w:val="21"/>
                <w:highlight w:val="none"/>
                <w:lang w:val="en-US" w:eastAsia="zh-CN"/>
              </w:rPr>
              <w:t>①掌</w:t>
            </w:r>
            <w:r>
              <w:rPr>
                <w:rFonts w:hint="eastAsia" w:ascii="宋体" w:hAnsi="宋体" w:eastAsia="宋体" w:cs="宋体"/>
                <w:color w:val="auto"/>
                <w:spacing w:val="15"/>
                <w:sz w:val="21"/>
                <w:szCs w:val="21"/>
                <w:highlight w:val="none"/>
                <w:lang w:val="en-US" w:eastAsia="zh-CN"/>
              </w:rPr>
              <w:t>握常用低压电器使用方法及基本电气控制线路连接方法。</w:t>
            </w:r>
          </w:p>
          <w:p w14:paraId="3A7F9C35">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②了解 PLC 编程与接口技术、常用 PLC的结构。</w:t>
            </w:r>
          </w:p>
          <w:p w14:paraId="128564E9">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③掌握常用 PLC 的 I/O 分配及指令，会使用编程软件。</w:t>
            </w:r>
          </w:p>
          <w:p w14:paraId="07B2A25B">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④能根据需要编写简单 PLC 应用程序。</w:t>
            </w:r>
          </w:p>
          <w:p w14:paraId="47E408B6">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9"/>
                <w:sz w:val="21"/>
                <w:szCs w:val="21"/>
                <w:highlight w:val="none"/>
                <w:lang w:eastAsia="zh-CN"/>
              </w:rPr>
            </w:pPr>
            <w:r>
              <w:rPr>
                <w:rFonts w:hint="eastAsia" w:ascii="宋体" w:hAnsi="宋体" w:eastAsia="宋体" w:cs="宋体"/>
                <w:color w:val="auto"/>
                <w:spacing w:val="15"/>
                <w:sz w:val="21"/>
                <w:szCs w:val="21"/>
                <w:highlight w:val="none"/>
                <w:lang w:val="en-US" w:eastAsia="zh-CN"/>
              </w:rPr>
              <w:t>⑤能对 PLC 控制</w:t>
            </w:r>
            <w:r>
              <w:rPr>
                <w:rFonts w:hint="eastAsia" w:ascii="宋体" w:hAnsi="宋体" w:eastAsia="宋体" w:cs="宋体"/>
                <w:color w:val="auto"/>
                <w:spacing w:val="9"/>
                <w:sz w:val="21"/>
                <w:szCs w:val="21"/>
                <w:highlight w:val="none"/>
                <w:lang w:val="en-US" w:eastAsia="zh-CN"/>
              </w:rPr>
              <w:t>系统进行安装、调试、运</w:t>
            </w:r>
            <w:r>
              <w:rPr>
                <w:rFonts w:hint="eastAsia" w:ascii="宋体" w:hAnsi="宋体" w:eastAsia="宋体" w:cs="宋体"/>
                <w:color w:val="auto"/>
                <w:spacing w:val="-1"/>
                <w:highlight w:val="none"/>
              </w:rPr>
              <w:t>行</w:t>
            </w:r>
            <w:r>
              <w:rPr>
                <w:rFonts w:hint="eastAsia" w:ascii="宋体" w:hAnsi="宋体" w:eastAsia="宋体" w:cs="宋体"/>
                <w:color w:val="auto"/>
                <w:spacing w:val="-1"/>
                <w:highlight w:val="none"/>
                <w:lang w:eastAsia="zh-CN"/>
              </w:rPr>
              <w:t>。</w:t>
            </w:r>
          </w:p>
        </w:tc>
      </w:tr>
      <w:tr w14:paraId="4B8838C6">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1615" w:hRule="atLeast"/>
        </w:trPr>
        <w:tc>
          <w:tcPr>
            <w:tcW w:w="312" w:type="pct"/>
            <w:noWrap w:val="0"/>
            <w:vAlign w:val="center"/>
          </w:tcPr>
          <w:p w14:paraId="329D9305">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5</w:t>
            </w:r>
          </w:p>
        </w:tc>
        <w:tc>
          <w:tcPr>
            <w:tcW w:w="903" w:type="pct"/>
            <w:noWrap w:val="0"/>
            <w:vAlign w:val="center"/>
          </w:tcPr>
          <w:p w14:paraId="10175177">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9"/>
                <w:sz w:val="21"/>
                <w:szCs w:val="21"/>
                <w:highlight w:val="none"/>
                <w:lang w:val="en-US" w:eastAsia="zh-CN"/>
              </w:rPr>
              <w:t>电气识图</w:t>
            </w:r>
          </w:p>
        </w:tc>
        <w:tc>
          <w:tcPr>
            <w:tcW w:w="1382" w:type="pct"/>
            <w:noWrap w:val="0"/>
            <w:vAlign w:val="center"/>
          </w:tcPr>
          <w:p w14:paraId="7EA09612">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① 电气控制线路图 的识读和绘制。</w:t>
            </w:r>
          </w:p>
          <w:p w14:paraId="366426D4">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 电子线路图的识读与绘制。</w:t>
            </w:r>
          </w:p>
          <w:p w14:paraId="601467E3">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rPr>
            </w:pPr>
            <w:r>
              <w:rPr>
                <w:rFonts w:hint="eastAsia" w:ascii="宋体" w:hAnsi="宋体" w:eastAsia="宋体" w:cs="宋体"/>
                <w:color w:val="auto"/>
                <w:spacing w:val="15"/>
                <w:sz w:val="21"/>
                <w:szCs w:val="21"/>
                <w:highlight w:val="none"/>
                <w:lang w:val="en-US" w:eastAsia="zh-CN"/>
              </w:rPr>
              <w:t>③ 根据 电气原理图查找电气元件实物，并能处理相关电气故障。</w:t>
            </w:r>
          </w:p>
        </w:tc>
        <w:tc>
          <w:tcPr>
            <w:tcW w:w="2400" w:type="pct"/>
            <w:noWrap w:val="0"/>
            <w:vAlign w:val="center"/>
          </w:tcPr>
          <w:p w14:paraId="651E8E43">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4"/>
                <w:highlight w:val="none"/>
              </w:rPr>
              <w:t>①</w:t>
            </w:r>
            <w:r>
              <w:rPr>
                <w:rFonts w:hint="eastAsia" w:ascii="宋体" w:hAnsi="宋体" w:eastAsia="宋体" w:cs="宋体"/>
                <w:color w:val="auto"/>
                <w:spacing w:val="15"/>
                <w:sz w:val="21"/>
                <w:szCs w:val="21"/>
                <w:highlight w:val="none"/>
                <w:lang w:val="en-US" w:eastAsia="zh-CN"/>
              </w:rPr>
              <w:t xml:space="preserve"> 掌握电气图样的识图方法。</w:t>
            </w:r>
          </w:p>
          <w:p w14:paraId="6271E2A4">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 掌握电气图样中的各种电气元件图形符号的含义。</w:t>
            </w:r>
          </w:p>
          <w:p w14:paraId="7398D06E">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2"/>
                <w:sz w:val="21"/>
                <w:szCs w:val="21"/>
                <w:highlight w:val="none"/>
              </w:rPr>
            </w:pPr>
            <w:r>
              <w:rPr>
                <w:rFonts w:hint="eastAsia" w:ascii="宋体" w:hAnsi="宋体" w:eastAsia="宋体" w:cs="宋体"/>
                <w:color w:val="auto"/>
                <w:spacing w:val="15"/>
                <w:sz w:val="21"/>
                <w:szCs w:val="21"/>
                <w:highlight w:val="none"/>
                <w:lang w:val="en-US" w:eastAsia="zh-CN"/>
              </w:rPr>
              <w:t>③ 掌握典型电气图样和电子线路图样的绘制方法。</w:t>
            </w:r>
          </w:p>
        </w:tc>
      </w:tr>
      <w:tr w14:paraId="51351F9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1615" w:hRule="atLeast"/>
        </w:trPr>
        <w:tc>
          <w:tcPr>
            <w:tcW w:w="312" w:type="pct"/>
            <w:noWrap w:val="0"/>
            <w:vAlign w:val="center"/>
          </w:tcPr>
          <w:p w14:paraId="6F896158">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903" w:type="pct"/>
            <w:noWrap w:val="0"/>
            <w:vAlign w:val="center"/>
          </w:tcPr>
          <w:p w14:paraId="17C564F9">
            <w:pPr>
              <w:keepNext w:val="0"/>
              <w:keepLines w:val="0"/>
              <w:pageBreakBefore w:val="0"/>
              <w:widowControl/>
              <w:kinsoku w:val="0"/>
              <w:wordWrap/>
              <w:overflowPunct/>
              <w:topLinePunct w:val="0"/>
              <w:autoSpaceDE w:val="0"/>
              <w:autoSpaceDN w:val="0"/>
              <w:bidi w:val="0"/>
              <w:adjustRightInd w:val="0"/>
              <w:snapToGrid w:val="0"/>
              <w:spacing w:line="360" w:lineRule="exact"/>
              <w:ind w:right="217"/>
              <w:jc w:val="center"/>
              <w:textAlignment w:val="baseline"/>
              <w:rPr>
                <w:rFonts w:hint="eastAsia" w:ascii="宋体" w:hAnsi="宋体" w:eastAsia="宋体" w:cs="宋体"/>
                <w:color w:val="auto"/>
                <w:spacing w:val="7"/>
                <w:sz w:val="21"/>
                <w:szCs w:val="21"/>
                <w:highlight w:val="none"/>
              </w:rPr>
            </w:pPr>
            <w:r>
              <w:rPr>
                <w:rFonts w:hint="eastAsia" w:ascii="宋体" w:hAnsi="宋体" w:eastAsia="宋体" w:cs="宋体"/>
                <w:color w:val="auto"/>
                <w:spacing w:val="3"/>
                <w:highlight w:val="none"/>
              </w:rPr>
              <w:t>机床电气线路</w:t>
            </w:r>
            <w:r>
              <w:rPr>
                <w:rFonts w:hint="eastAsia" w:ascii="宋体" w:hAnsi="宋体" w:eastAsia="宋体" w:cs="宋体"/>
                <w:color w:val="auto"/>
                <w:spacing w:val="2"/>
                <w:highlight w:val="none"/>
              </w:rPr>
              <w:t>安装与维修</w:t>
            </w:r>
          </w:p>
        </w:tc>
        <w:tc>
          <w:tcPr>
            <w:tcW w:w="1382" w:type="pct"/>
            <w:noWrap w:val="0"/>
            <w:vAlign w:val="center"/>
          </w:tcPr>
          <w:p w14:paraId="6764AAD2">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①安装机床电气线路、液压传动与控制系统。</w:t>
            </w:r>
          </w:p>
          <w:p w14:paraId="6533FC91">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②调整机床液压传动与控制系统。</w:t>
            </w:r>
          </w:p>
          <w:p w14:paraId="5E386E75">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rPr>
            </w:pPr>
            <w:r>
              <w:rPr>
                <w:rFonts w:hint="eastAsia" w:ascii="宋体" w:hAnsi="宋体" w:eastAsia="宋体" w:cs="宋体"/>
                <w:color w:val="auto"/>
                <w:spacing w:val="15"/>
                <w:sz w:val="21"/>
                <w:szCs w:val="21"/>
                <w:highlight w:val="none"/>
                <w:lang w:val="en-US" w:eastAsia="zh-CN"/>
              </w:rPr>
              <w:t>③判断与排除机床常见故障。</w:t>
            </w:r>
          </w:p>
        </w:tc>
        <w:tc>
          <w:tcPr>
            <w:tcW w:w="2400" w:type="pct"/>
            <w:noWrap w:val="0"/>
            <w:vAlign w:val="center"/>
          </w:tcPr>
          <w:p w14:paraId="1BC2A978">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7"/>
                <w:highlight w:val="none"/>
              </w:rPr>
              <w:t>①</w:t>
            </w:r>
            <w:r>
              <w:rPr>
                <w:rFonts w:hint="eastAsia" w:ascii="宋体" w:hAnsi="宋体" w:eastAsia="宋体" w:cs="宋体"/>
                <w:color w:val="auto"/>
                <w:spacing w:val="15"/>
                <w:sz w:val="21"/>
                <w:szCs w:val="21"/>
                <w:highlight w:val="none"/>
                <w:lang w:val="en-US" w:eastAsia="zh-CN"/>
              </w:rPr>
              <w:t>了解低压电器元件的结构、使用规范，能对常用低压电器进行安装及性能检测。</w:t>
            </w:r>
          </w:p>
          <w:p w14:paraId="14EC5904">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②理解常用普通机床电气控制线路的原理，能完成线路安装。</w:t>
            </w:r>
          </w:p>
          <w:p w14:paraId="7D5653DC">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2"/>
                <w:sz w:val="21"/>
                <w:szCs w:val="21"/>
                <w:highlight w:val="none"/>
              </w:rPr>
            </w:pPr>
            <w:r>
              <w:rPr>
                <w:rFonts w:hint="eastAsia" w:ascii="宋体" w:hAnsi="宋体" w:eastAsia="宋体" w:cs="宋体"/>
                <w:color w:val="auto"/>
                <w:spacing w:val="15"/>
                <w:sz w:val="21"/>
                <w:szCs w:val="21"/>
                <w:highlight w:val="none"/>
                <w:lang w:val="en-US" w:eastAsia="zh-CN"/>
              </w:rPr>
              <w:t>③能根据故障现象、电路图，检测常用普通机床的常见电气故障， 并能排除故障。</w:t>
            </w:r>
          </w:p>
        </w:tc>
      </w:tr>
      <w:tr w14:paraId="6627917F">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467" w:hRule="atLeast"/>
        </w:trPr>
        <w:tc>
          <w:tcPr>
            <w:tcW w:w="312" w:type="pct"/>
            <w:noWrap w:val="0"/>
            <w:vAlign w:val="center"/>
          </w:tcPr>
          <w:p w14:paraId="3657C88C">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p>
          <w:p w14:paraId="5A820B00">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p>
          <w:p w14:paraId="33FE78B1">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p>
          <w:p w14:paraId="3800D5BE">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p>
          <w:p w14:paraId="6AD49D48">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w:t>
            </w:r>
          </w:p>
        </w:tc>
        <w:tc>
          <w:tcPr>
            <w:tcW w:w="903" w:type="pct"/>
            <w:noWrap w:val="0"/>
            <w:vAlign w:val="center"/>
          </w:tcPr>
          <w:p w14:paraId="1CA46F2A">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p>
          <w:p w14:paraId="62F44B6A">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3"/>
                <w:highlight w:val="none"/>
              </w:rPr>
              <w:t>机电设备安装</w:t>
            </w:r>
            <w:r>
              <w:rPr>
                <w:rFonts w:hint="eastAsia" w:ascii="宋体" w:hAnsi="宋体" w:eastAsia="宋体" w:cs="宋体"/>
                <w:color w:val="auto"/>
                <w:highlight w:val="none"/>
              </w:rPr>
              <w:t>与调试</w:t>
            </w:r>
          </w:p>
          <w:p w14:paraId="5ACB435A">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p>
          <w:p w14:paraId="7A0B0E35">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p>
          <w:p w14:paraId="78EE829F">
            <w:pPr>
              <w:keepNext w:val="0"/>
              <w:keepLines w:val="0"/>
              <w:pageBreakBefore w:val="0"/>
              <w:widowControl/>
              <w:kinsoku w:val="0"/>
              <w:wordWrap/>
              <w:overflowPunct/>
              <w:topLinePunct w:val="0"/>
              <w:autoSpaceDE w:val="0"/>
              <w:autoSpaceDN w:val="0"/>
              <w:bidi w:val="0"/>
              <w:adjustRightInd w:val="0"/>
              <w:snapToGrid w:val="0"/>
              <w:spacing w:line="360" w:lineRule="exact"/>
              <w:ind w:right="217"/>
              <w:jc w:val="center"/>
              <w:textAlignment w:val="baseline"/>
              <w:rPr>
                <w:rFonts w:hint="eastAsia" w:ascii="宋体" w:hAnsi="宋体" w:eastAsia="宋体" w:cs="宋体"/>
                <w:color w:val="auto"/>
                <w:sz w:val="21"/>
                <w:szCs w:val="21"/>
                <w:highlight w:val="none"/>
              </w:rPr>
            </w:pPr>
          </w:p>
        </w:tc>
        <w:tc>
          <w:tcPr>
            <w:tcW w:w="1382" w:type="pct"/>
            <w:noWrap w:val="0"/>
            <w:vAlign w:val="center"/>
          </w:tcPr>
          <w:p w14:paraId="01B84046">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p>
          <w:p w14:paraId="4863126C">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①核对并检测机电设备零部件。</w:t>
            </w:r>
          </w:p>
          <w:p w14:paraId="01FBD103">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②连接并预调试电气线路。</w:t>
            </w:r>
          </w:p>
          <w:p w14:paraId="3B25370B">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③安装并调整机械装置。</w:t>
            </w:r>
          </w:p>
          <w:p w14:paraId="6502B230">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④安装并调整液压传动与控制系统。</w:t>
            </w:r>
          </w:p>
          <w:p w14:paraId="4C55C428">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⑤连接并调试机电设备各系统。</w:t>
            </w:r>
          </w:p>
          <w:p w14:paraId="3047832D">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5"/>
                <w:sz w:val="21"/>
                <w:szCs w:val="21"/>
                <w:highlight w:val="none"/>
              </w:rPr>
            </w:pPr>
            <w:r>
              <w:rPr>
                <w:rFonts w:hint="eastAsia" w:ascii="宋体" w:hAnsi="宋体" w:eastAsia="宋体" w:cs="宋体"/>
                <w:color w:val="auto"/>
                <w:spacing w:val="15"/>
                <w:sz w:val="21"/>
                <w:szCs w:val="21"/>
                <w:highlight w:val="none"/>
                <w:lang w:val="en-US" w:eastAsia="zh-CN"/>
              </w:rPr>
              <w:t>⑥判断并排除机电设备常见故障。</w:t>
            </w:r>
          </w:p>
        </w:tc>
        <w:tc>
          <w:tcPr>
            <w:tcW w:w="2400" w:type="pct"/>
            <w:noWrap w:val="0"/>
            <w:vAlign w:val="center"/>
          </w:tcPr>
          <w:p w14:paraId="793EA986">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p>
          <w:p w14:paraId="44A67560">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①能熟练运用工具对机电设备的机械部分进行组装。</w:t>
            </w:r>
          </w:p>
          <w:p w14:paraId="1617F20F">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②能识读电气、液压、气动原理图或接线图，并对电气控制线路及气路进行连接与调试。</w:t>
            </w:r>
          </w:p>
          <w:p w14:paraId="4736BE92">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③能读懂较复杂的控制程序，并能设计简单程序使系统正常运行。</w:t>
            </w:r>
          </w:p>
          <w:p w14:paraId="5408AD3B">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15"/>
                <w:sz w:val="21"/>
                <w:szCs w:val="21"/>
                <w:highlight w:val="none"/>
                <w:lang w:val="en-US" w:eastAsia="zh-CN"/>
              </w:rPr>
              <w:t>④ 能排除系统的机械及电气故障。</w:t>
            </w:r>
          </w:p>
        </w:tc>
      </w:tr>
      <w:tr w14:paraId="28EA493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90" w:hRule="atLeast"/>
        </w:trPr>
        <w:tc>
          <w:tcPr>
            <w:tcW w:w="312" w:type="pct"/>
            <w:noWrap w:val="0"/>
            <w:vAlign w:val="center"/>
          </w:tcPr>
          <w:p w14:paraId="14D69A6C">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1BAA7434">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4C5637F0">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1D94E99A">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lang w:eastAsia="zh-CN"/>
              </w:rPr>
            </w:pPr>
            <w:r>
              <w:rPr>
                <w:rFonts w:hint="eastAsia" w:ascii="宋体" w:hAnsi="宋体" w:eastAsia="宋体" w:cs="宋体"/>
                <w:color w:val="auto"/>
                <w:sz w:val="21"/>
                <w:szCs w:val="21"/>
                <w:highlight w:val="none"/>
                <w:lang w:val="en-US" w:eastAsia="zh-CN"/>
              </w:rPr>
              <w:t>8</w:t>
            </w:r>
          </w:p>
        </w:tc>
        <w:tc>
          <w:tcPr>
            <w:tcW w:w="903" w:type="pct"/>
            <w:noWrap w:val="0"/>
            <w:vAlign w:val="center"/>
          </w:tcPr>
          <w:p w14:paraId="3DD7ABA5">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4F6E9C55">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3E34176F">
            <w:pPr>
              <w:keepNext w:val="0"/>
              <w:keepLines w:val="0"/>
              <w:pageBreakBefore w:val="0"/>
              <w:widowControl/>
              <w:kinsoku w:val="0"/>
              <w:wordWrap/>
              <w:overflowPunct/>
              <w:topLinePunct w:val="0"/>
              <w:autoSpaceDE w:val="0"/>
              <w:autoSpaceDN w:val="0"/>
              <w:bidi w:val="0"/>
              <w:adjustRightInd w:val="0"/>
              <w:snapToGrid w:val="0"/>
              <w:spacing w:line="360" w:lineRule="exact"/>
              <w:ind w:left="146"/>
              <w:jc w:val="center"/>
              <w:textAlignment w:val="baseline"/>
              <w:rPr>
                <w:rFonts w:hint="eastAsia" w:ascii="宋体" w:hAnsi="宋体" w:eastAsia="宋体" w:cs="宋体"/>
                <w:color w:val="auto"/>
                <w:spacing w:val="9"/>
                <w:sz w:val="21"/>
                <w:szCs w:val="21"/>
                <w:highlight w:val="none"/>
              </w:rPr>
            </w:pPr>
          </w:p>
          <w:p w14:paraId="4D3E6831">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2"/>
                <w:highlight w:val="none"/>
              </w:rPr>
              <w:t>自动化生产线</w:t>
            </w:r>
            <w:r>
              <w:rPr>
                <w:rFonts w:hint="eastAsia" w:ascii="宋体" w:hAnsi="宋体" w:eastAsia="宋体" w:cs="宋体"/>
                <w:color w:val="auto"/>
                <w:spacing w:val="2"/>
                <w:highlight w:val="none"/>
              </w:rPr>
              <w:t>安装与调试</w:t>
            </w:r>
          </w:p>
        </w:tc>
        <w:tc>
          <w:tcPr>
            <w:tcW w:w="1382" w:type="pct"/>
            <w:noWrap w:val="0"/>
            <w:vAlign w:val="center"/>
          </w:tcPr>
          <w:p w14:paraId="56D4A1C1">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①组装自动化生产线。</w:t>
            </w:r>
          </w:p>
          <w:p w14:paraId="79DAB73A">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②预调试电气系统。</w:t>
            </w:r>
          </w:p>
          <w:p w14:paraId="7F68FB5A">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③调整机械装置。</w:t>
            </w:r>
          </w:p>
          <w:p w14:paraId="7C50A575">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④调整气动系统。</w:t>
            </w:r>
          </w:p>
          <w:p w14:paraId="6CF505DD">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⑤安装并调整液压传动与控制系统。</w:t>
            </w:r>
          </w:p>
          <w:p w14:paraId="22138A5F">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15"/>
                <w:sz w:val="21"/>
                <w:szCs w:val="21"/>
                <w:highlight w:val="none"/>
                <w:lang w:val="en-US" w:eastAsia="zh-CN"/>
              </w:rPr>
              <w:t>⑥调试并运行自动化生产线。</w:t>
            </w:r>
          </w:p>
        </w:tc>
        <w:tc>
          <w:tcPr>
            <w:tcW w:w="2400" w:type="pct"/>
            <w:noWrap w:val="0"/>
            <w:vAlign w:val="center"/>
          </w:tcPr>
          <w:p w14:paraId="5A858D0E">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①理解自动化生产线机械传动的常用控制方式。</w:t>
            </w:r>
          </w:p>
          <w:p w14:paraId="7547877E">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15"/>
                <w:sz w:val="21"/>
                <w:szCs w:val="21"/>
                <w:highlight w:val="none"/>
                <w:lang w:val="en-US" w:eastAsia="zh-CN"/>
              </w:rPr>
            </w:pPr>
            <w:r>
              <w:rPr>
                <w:rFonts w:hint="eastAsia" w:ascii="宋体" w:hAnsi="宋体" w:eastAsia="宋体" w:cs="宋体"/>
                <w:color w:val="auto"/>
                <w:spacing w:val="15"/>
                <w:sz w:val="21"/>
                <w:szCs w:val="21"/>
                <w:highlight w:val="none"/>
                <w:lang w:val="en-US" w:eastAsia="zh-CN"/>
              </w:rPr>
              <w:t>②能进行典型生产线的机械装配与调试、电气控制系统的安装、气动与液压系统回路连接。</w:t>
            </w:r>
          </w:p>
          <w:p w14:paraId="385D8C6E">
            <w:pPr>
              <w:keepNext w:val="0"/>
              <w:keepLines w:val="0"/>
              <w:pageBreakBefore w:val="0"/>
              <w:widowControl/>
              <w:kinsoku w:val="0"/>
              <w:wordWrap/>
              <w:overflowPunct/>
              <w:topLinePunct w:val="0"/>
              <w:autoSpaceDE w:val="0"/>
              <w:autoSpaceDN w:val="0"/>
              <w:bidi w:val="0"/>
              <w:adjustRightInd w:val="0"/>
              <w:snapToGrid w:val="0"/>
              <w:spacing w:line="360" w:lineRule="exact"/>
              <w:ind w:right="90"/>
              <w:jc w:val="left"/>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15"/>
                <w:sz w:val="21"/>
                <w:szCs w:val="21"/>
                <w:highlight w:val="none"/>
                <w:lang w:val="en-US" w:eastAsia="zh-CN"/>
              </w:rPr>
              <w:t>③初步掌握典型自动化生产线的安装与调试方法。</w:t>
            </w:r>
          </w:p>
        </w:tc>
      </w:tr>
    </w:tbl>
    <w:p w14:paraId="004D9C69">
      <w:pPr>
        <w:numPr>
          <w:ilvl w:val="0"/>
          <w:numId w:val="0"/>
        </w:numPr>
        <w:kinsoku/>
        <w:autoSpaceDE/>
        <w:autoSpaceDN/>
        <w:adjustRightInd/>
        <w:snapToGrid/>
        <w:textAlignment w:val="auto"/>
        <w:outlineLvl w:val="0"/>
        <w:rPr>
          <w:rFonts w:hint="eastAsia"/>
          <w:color w:val="auto"/>
          <w:highlight w:val="none"/>
          <w:lang w:val="en-US" w:eastAsia="zh-CN"/>
        </w:rPr>
      </w:pPr>
      <w:r>
        <w:rPr>
          <w:rFonts w:hint="eastAsia" w:ascii="宋体" w:hAnsi="宋体" w:cs="宋体"/>
          <w:b/>
          <w:bCs/>
          <w:color w:val="auto"/>
          <w:spacing w:val="10"/>
          <w:sz w:val="24"/>
          <w:szCs w:val="24"/>
          <w:highlight w:val="none"/>
          <w:lang w:val="en-US" w:eastAsia="zh-CN"/>
        </w:rPr>
        <w:t>八</w:t>
      </w:r>
      <w:r>
        <w:rPr>
          <w:rFonts w:hint="eastAsia" w:ascii="宋体" w:hAnsi="宋体" w:eastAsia="宋体" w:cs="宋体"/>
          <w:color w:val="auto"/>
          <w:spacing w:val="15"/>
          <w:sz w:val="21"/>
          <w:szCs w:val="21"/>
          <w:highlight w:val="none"/>
          <w:lang w:val="en-US" w:eastAsia="zh-CN"/>
        </w:rPr>
        <w:t>、</w:t>
      </w:r>
      <w:r>
        <w:rPr>
          <w:rFonts w:hint="eastAsia" w:ascii="宋体" w:hAnsi="宋体" w:cs="宋体"/>
          <w:b/>
          <w:bCs/>
          <w:color w:val="auto"/>
          <w:spacing w:val="10"/>
          <w:sz w:val="24"/>
          <w:szCs w:val="24"/>
          <w:highlight w:val="none"/>
          <w:lang w:val="en-US" w:eastAsia="zh-CN"/>
        </w:rPr>
        <w:t>各类课程学时</w:t>
      </w:r>
    </w:p>
    <w:p w14:paraId="70C75008">
      <w:pPr>
        <w:pStyle w:val="2"/>
        <w:rPr>
          <w:rFonts w:hint="eastAsia" w:eastAsia="宋体"/>
          <w:color w:val="auto"/>
          <w:highlight w:val="red"/>
          <w:lang w:eastAsia="zh-CN"/>
        </w:rPr>
      </w:pPr>
      <w:r>
        <w:rPr>
          <w:rFonts w:hint="eastAsia" w:eastAsia="宋体"/>
          <w:color w:val="auto"/>
          <w:highlight w:val="red"/>
          <w:lang w:eastAsia="zh-CN"/>
        </w:rPr>
        <w:drawing>
          <wp:inline distT="0" distB="0" distL="114300" distR="114300">
            <wp:extent cx="3600450" cy="3676650"/>
            <wp:effectExtent l="0" t="0" r="0" b="0"/>
            <wp:docPr id="12" name="图片 5"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descr="5"/>
                    <pic:cNvPicPr>
                      <a:picLocks noChangeAspect="1"/>
                    </pic:cNvPicPr>
                  </pic:nvPicPr>
                  <pic:blipFill>
                    <a:blip r:embed="rId12"/>
                    <a:stretch>
                      <a:fillRect/>
                    </a:stretch>
                  </pic:blipFill>
                  <pic:spPr>
                    <a:xfrm>
                      <a:off x="0" y="0"/>
                      <a:ext cx="3600450" cy="3676650"/>
                    </a:xfrm>
                    <a:prstGeom prst="rect">
                      <a:avLst/>
                    </a:prstGeom>
                    <a:noFill/>
                    <a:ln>
                      <a:noFill/>
                    </a:ln>
                  </pic:spPr>
                </pic:pic>
              </a:graphicData>
            </a:graphic>
          </wp:inline>
        </w:drawing>
      </w:r>
    </w:p>
    <w:p w14:paraId="2C021E94">
      <w:pPr>
        <w:pStyle w:val="8"/>
        <w:numPr>
          <w:ilvl w:val="0"/>
          <w:numId w:val="2"/>
        </w:numPr>
        <w:adjustRightInd w:val="0"/>
        <w:snapToGrid w:val="0"/>
        <w:spacing w:beforeLines="0" w:line="460" w:lineRule="exact"/>
        <w:rPr>
          <w:rFonts w:hint="eastAsia" w:ascii="方正书宋简体" w:hAnsi="方正书宋简体" w:eastAsia="方正书宋简体" w:cs="方正书宋简体"/>
          <w:b/>
          <w:color w:val="auto"/>
          <w:sz w:val="24"/>
          <w:szCs w:val="24"/>
          <w:highlight w:val="none"/>
        </w:rPr>
      </w:pPr>
      <w:r>
        <w:rPr>
          <w:rFonts w:hint="eastAsia" w:ascii="方正书宋简体" w:hAnsi="方正书宋简体" w:eastAsia="方正书宋简体" w:cs="方正书宋简体"/>
          <w:b/>
          <w:color w:val="auto"/>
          <w:sz w:val="24"/>
          <w:szCs w:val="24"/>
          <w:highlight w:val="none"/>
        </w:rPr>
        <w:t>教学计划进程</w:t>
      </w:r>
    </w:p>
    <w:p w14:paraId="461F88F2">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7EA8BDAC">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18AF936D">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578388A1">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103E64B2">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4AD25F3E">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sectPr>
          <w:headerReference r:id="rId3" w:type="default"/>
          <w:footerReference r:id="rId4" w:type="default"/>
          <w:pgSz w:w="11906" w:h="16838"/>
          <w:pgMar w:top="1587" w:right="1587" w:bottom="1587" w:left="1587" w:header="851" w:footer="992" w:gutter="283"/>
          <w:pgNumType w:fmt="decimal" w:start="1"/>
          <w:cols w:space="720" w:num="1"/>
          <w:docGrid w:linePitch="312" w:charSpace="0"/>
        </w:sectPr>
      </w:pPr>
    </w:p>
    <w:p w14:paraId="1DF828DA">
      <w:pPr>
        <w:pStyle w:val="8"/>
        <w:keepNext w:val="0"/>
        <w:keepLines w:val="0"/>
        <w:pageBreakBefore w:val="0"/>
        <w:widowControl w:val="0"/>
        <w:kinsoku/>
        <w:wordWrap/>
        <w:overflowPunct/>
        <w:topLinePunct w:val="0"/>
        <w:autoSpaceDE/>
        <w:autoSpaceDN/>
        <w:bidi w:val="0"/>
        <w:adjustRightInd w:val="0"/>
        <w:snapToGrid w:val="0"/>
        <w:spacing w:beforeLines="0" w:line="240" w:lineRule="auto"/>
        <w:ind w:left="0" w:leftChars="0" w:firstLine="0" w:firstLineChars="0"/>
        <w:jc w:val="center"/>
        <w:textAlignment w:val="auto"/>
        <w:rPr>
          <w:rFonts w:hint="eastAsia" w:ascii="方正书宋简体" w:hAnsi="方正书宋简体" w:eastAsia="方正书宋简体" w:cs="方正书宋简体"/>
          <w:b/>
          <w:bCs/>
          <w:color w:val="auto"/>
          <w:sz w:val="24"/>
          <w:szCs w:val="24"/>
          <w:highlight w:val="none"/>
        </w:rPr>
      </w:pPr>
      <w:r>
        <w:rPr>
          <w:rFonts w:hint="eastAsia" w:ascii="方正书宋简体" w:hAnsi="方正书宋简体" w:eastAsia="方正书宋简体" w:cs="方正书宋简体"/>
          <w:b/>
          <w:bCs/>
          <w:color w:val="auto"/>
          <w:sz w:val="24"/>
          <w:szCs w:val="24"/>
          <w:highlight w:val="none"/>
          <w:lang w:val="en-US" w:eastAsia="zh-CN"/>
        </w:rPr>
        <w:t>机电技术</w:t>
      </w:r>
      <w:r>
        <w:rPr>
          <w:rFonts w:hint="eastAsia" w:ascii="方正书宋简体" w:hAnsi="方正书宋简体" w:eastAsia="方正书宋简体" w:cs="方正书宋简体"/>
          <w:b/>
          <w:bCs/>
          <w:color w:val="auto"/>
          <w:sz w:val="24"/>
          <w:szCs w:val="24"/>
          <w:highlight w:val="none"/>
        </w:rPr>
        <w:t>应用专业教学进程表</w:t>
      </w:r>
    </w:p>
    <w:p w14:paraId="3C0F5D4E">
      <w:pPr>
        <w:adjustRightInd w:val="0"/>
        <w:snapToGrid w:val="0"/>
        <w:spacing w:line="240" w:lineRule="atLeast"/>
        <w:jc w:val="center"/>
        <w:rPr>
          <w:rFonts w:hint="eastAsia" w:ascii="宋体" w:hAnsi="宋体" w:eastAsia="宋体" w:cs="宋体"/>
          <w:color w:val="auto"/>
          <w:kern w:val="10"/>
          <w:sz w:val="15"/>
          <w:szCs w:val="15"/>
          <w:lang w:val="en-US" w:eastAsia="zh-CN"/>
        </w:rPr>
      </w:pPr>
    </w:p>
    <w:p w14:paraId="1B1A48A6">
      <w:pPr>
        <w:pStyle w:val="2"/>
        <w:rPr>
          <w:rFonts w:hint="eastAsia"/>
          <w:lang w:val="en-US" w:eastAsia="zh-CN"/>
        </w:rPr>
        <w:sectPr>
          <w:footerReference r:id="rId5" w:type="default"/>
          <w:pgSz w:w="16838" w:h="11906" w:orient="landscape"/>
          <w:pgMar w:top="1587" w:right="1587" w:bottom="1587" w:left="1587" w:header="851" w:footer="992" w:gutter="283"/>
          <w:pgNumType w:fmt="decimal"/>
          <w:cols w:space="720" w:num="1"/>
          <w:docGrid w:linePitch="312" w:charSpace="0"/>
        </w:sectPr>
      </w:pPr>
      <w:r>
        <w:rPr>
          <w:rFonts w:hint="eastAsia"/>
          <w:lang w:val="en-US" w:eastAsia="zh-CN"/>
        </w:rPr>
        <w:drawing>
          <wp:inline distT="0" distB="0" distL="114300" distR="114300">
            <wp:extent cx="8191500" cy="4638675"/>
            <wp:effectExtent l="0" t="0" r="0" b="9525"/>
            <wp:docPr id="6" name="图片 6"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6"/>
                    <pic:cNvPicPr>
                      <a:picLocks noChangeAspect="1"/>
                    </pic:cNvPicPr>
                  </pic:nvPicPr>
                  <pic:blipFill>
                    <a:blip r:embed="rId13"/>
                    <a:stretch>
                      <a:fillRect/>
                    </a:stretch>
                  </pic:blipFill>
                  <pic:spPr>
                    <a:xfrm>
                      <a:off x="0" y="0"/>
                      <a:ext cx="8191500" cy="4638675"/>
                    </a:xfrm>
                    <a:prstGeom prst="rect">
                      <a:avLst/>
                    </a:prstGeom>
                    <a:noFill/>
                    <a:ln>
                      <a:noFill/>
                    </a:ln>
                  </pic:spPr>
                </pic:pic>
              </a:graphicData>
            </a:graphic>
          </wp:inline>
        </w:drawing>
      </w:r>
    </w:p>
    <w:p w14:paraId="25BC3F96">
      <w:pPr>
        <w:adjustRightInd w:val="0"/>
        <w:snapToGrid w:val="0"/>
        <w:spacing w:line="240" w:lineRule="auto"/>
        <w:rPr>
          <w:rFonts w:hint="eastAsia" w:ascii="方正书宋简体" w:hAnsi="方正书宋简体" w:eastAsia="方正书宋简体" w:cs="方正书宋简体"/>
          <w:color w:val="auto"/>
          <w:sz w:val="24"/>
          <w:highlight w:val="none"/>
          <w:lang w:eastAsia="zh-CN"/>
        </w:rPr>
      </w:pPr>
      <w:r>
        <w:rPr>
          <w:rFonts w:hint="eastAsia" w:ascii="方正书宋简体" w:hAnsi="方正书宋简体" w:eastAsia="方正书宋简体" w:cs="方正书宋简体"/>
          <w:color w:val="auto"/>
          <w:sz w:val="24"/>
          <w:highlight w:val="none"/>
          <w:lang w:eastAsia="zh-CN"/>
        </w:rPr>
        <w:drawing>
          <wp:inline distT="0" distB="0" distL="114300" distR="114300">
            <wp:extent cx="8067675" cy="3152775"/>
            <wp:effectExtent l="0" t="0" r="9525" b="9525"/>
            <wp:docPr id="8" name="图片 7"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7"/>
                    <pic:cNvPicPr>
                      <a:picLocks noChangeAspect="1"/>
                    </pic:cNvPicPr>
                  </pic:nvPicPr>
                  <pic:blipFill>
                    <a:blip r:embed="rId14"/>
                    <a:stretch>
                      <a:fillRect/>
                    </a:stretch>
                  </pic:blipFill>
                  <pic:spPr>
                    <a:xfrm>
                      <a:off x="0" y="0"/>
                      <a:ext cx="8067675" cy="3152775"/>
                    </a:xfrm>
                    <a:prstGeom prst="rect">
                      <a:avLst/>
                    </a:prstGeom>
                    <a:noFill/>
                    <a:ln>
                      <a:noFill/>
                    </a:ln>
                  </pic:spPr>
                </pic:pic>
              </a:graphicData>
            </a:graphic>
          </wp:inline>
        </w:drawing>
      </w:r>
    </w:p>
    <w:p w14:paraId="281F44F6">
      <w:pPr>
        <w:adjustRightInd w:val="0"/>
        <w:snapToGrid w:val="0"/>
        <w:spacing w:line="460" w:lineRule="exact"/>
        <w:rPr>
          <w:rFonts w:hint="eastAsia" w:ascii="方正书宋简体" w:hAnsi="方正书宋简体" w:eastAsia="方正书宋简体" w:cs="方正书宋简体"/>
          <w:color w:val="auto"/>
          <w:sz w:val="24"/>
          <w:highlight w:val="none"/>
        </w:rPr>
      </w:pPr>
      <w:r>
        <w:rPr>
          <w:rFonts w:hint="eastAsia" w:ascii="方正书宋简体" w:hAnsi="方正书宋简体" w:eastAsia="方正书宋简体" w:cs="方正书宋简体"/>
          <w:color w:val="auto"/>
          <w:sz w:val="24"/>
          <w:highlight w:val="none"/>
        </w:rPr>
        <w:t>注：1.核心课程6--8门；2.核心课程名称后面加*。</w:t>
      </w:r>
    </w:p>
    <w:p w14:paraId="6ED27D4F">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r>
        <w:rPr>
          <w:rFonts w:hint="eastAsia" w:ascii="方正书宋简体" w:hAnsi="方正书宋简体" w:eastAsia="方正书宋简体" w:cs="方正书宋简体"/>
          <w:b/>
          <w:bCs/>
          <w:color w:val="auto"/>
          <w:sz w:val="24"/>
          <w:highlight w:val="none"/>
        </w:rPr>
        <w:t>集中实践教学安排</w:t>
      </w:r>
    </w:p>
    <w:p w14:paraId="319CFBF9">
      <w:pPr>
        <w:adjustRightInd w:val="0"/>
        <w:snapToGrid w:val="0"/>
        <w:spacing w:line="240" w:lineRule="auto"/>
        <w:ind w:firstLine="480" w:firstLineChars="200"/>
        <w:rPr>
          <w:rFonts w:hint="eastAsia" w:ascii="方正书宋简体" w:hAnsi="方正书宋简体" w:eastAsia="方正书宋简体" w:cs="方正书宋简体"/>
          <w:color w:val="auto"/>
          <w:kern w:val="0"/>
          <w:sz w:val="24"/>
          <w:highlight w:val="none"/>
          <w:lang w:eastAsia="zh-CN"/>
        </w:rPr>
      </w:pPr>
      <w:r>
        <w:rPr>
          <w:rFonts w:hint="eastAsia" w:ascii="方正书宋简体" w:hAnsi="方正书宋简体" w:eastAsia="方正书宋简体" w:cs="方正书宋简体"/>
          <w:color w:val="auto"/>
          <w:kern w:val="0"/>
          <w:sz w:val="24"/>
          <w:highlight w:val="none"/>
          <w:lang w:eastAsia="zh-CN"/>
        </w:rPr>
        <w:drawing>
          <wp:inline distT="0" distB="0" distL="114300" distR="114300">
            <wp:extent cx="8668385" cy="1475105"/>
            <wp:effectExtent l="0" t="0" r="18415" b="10795"/>
            <wp:docPr id="7" name="图片 8"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8" descr="8png"/>
                    <pic:cNvPicPr>
                      <a:picLocks noChangeAspect="1"/>
                    </pic:cNvPicPr>
                  </pic:nvPicPr>
                  <pic:blipFill>
                    <a:blip r:embed="rId15"/>
                    <a:stretch>
                      <a:fillRect/>
                    </a:stretch>
                  </pic:blipFill>
                  <pic:spPr>
                    <a:xfrm>
                      <a:off x="0" y="0"/>
                      <a:ext cx="8668385" cy="1475105"/>
                    </a:xfrm>
                    <a:prstGeom prst="rect">
                      <a:avLst/>
                    </a:prstGeom>
                    <a:noFill/>
                    <a:ln>
                      <a:noFill/>
                    </a:ln>
                  </pic:spPr>
                </pic:pic>
              </a:graphicData>
            </a:graphic>
          </wp:inline>
        </w:drawing>
      </w:r>
    </w:p>
    <w:p w14:paraId="01A56AE4">
      <w:pPr>
        <w:adjustRightInd w:val="0"/>
        <w:snapToGrid w:val="0"/>
        <w:spacing w:line="240" w:lineRule="auto"/>
        <w:ind w:firstLine="480" w:firstLineChars="200"/>
        <w:rPr>
          <w:rFonts w:hint="eastAsia" w:ascii="方正书宋简体" w:hAnsi="方正书宋简体" w:eastAsia="方正书宋简体" w:cs="方正书宋简体"/>
          <w:color w:val="auto"/>
          <w:kern w:val="0"/>
          <w:sz w:val="24"/>
          <w:highlight w:val="none"/>
          <w:lang w:eastAsia="zh-CN"/>
        </w:rPr>
      </w:pPr>
      <w:r>
        <w:rPr>
          <w:rFonts w:hint="eastAsia" w:ascii="方正书宋简体" w:hAnsi="方正书宋简体" w:eastAsia="方正书宋简体" w:cs="方正书宋简体"/>
          <w:color w:val="auto"/>
          <w:kern w:val="0"/>
          <w:sz w:val="24"/>
          <w:highlight w:val="none"/>
          <w:lang w:eastAsia="zh-CN"/>
        </w:rPr>
        <w:drawing>
          <wp:inline distT="0" distB="0" distL="114300" distR="114300">
            <wp:extent cx="8669020" cy="1356995"/>
            <wp:effectExtent l="0" t="0" r="17780" b="14605"/>
            <wp:docPr id="4" name="图片 9"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9" descr="9"/>
                    <pic:cNvPicPr>
                      <a:picLocks noChangeAspect="1"/>
                    </pic:cNvPicPr>
                  </pic:nvPicPr>
                  <pic:blipFill>
                    <a:blip r:embed="rId16"/>
                    <a:stretch>
                      <a:fillRect/>
                    </a:stretch>
                  </pic:blipFill>
                  <pic:spPr>
                    <a:xfrm>
                      <a:off x="0" y="0"/>
                      <a:ext cx="8669020" cy="1356995"/>
                    </a:xfrm>
                    <a:prstGeom prst="rect">
                      <a:avLst/>
                    </a:prstGeom>
                    <a:noFill/>
                    <a:ln>
                      <a:noFill/>
                    </a:ln>
                  </pic:spPr>
                </pic:pic>
              </a:graphicData>
            </a:graphic>
          </wp:inline>
        </w:drawing>
      </w:r>
    </w:p>
    <w:p w14:paraId="16352F2C">
      <w:pPr>
        <w:adjustRightInd w:val="0"/>
        <w:snapToGrid w:val="0"/>
        <w:spacing w:line="460" w:lineRule="exact"/>
        <w:ind w:firstLine="480" w:firstLineChars="200"/>
        <w:rPr>
          <w:rFonts w:hint="eastAsia" w:ascii="方正书宋简体" w:hAnsi="方正书宋简体" w:eastAsia="方正书宋简体" w:cs="方正书宋简体"/>
          <w:b/>
          <w:color w:val="auto"/>
          <w:sz w:val="24"/>
          <w:szCs w:val="24"/>
          <w:highlight w:val="none"/>
        </w:rPr>
        <w:sectPr>
          <w:footerReference r:id="rId6" w:type="default"/>
          <w:pgSz w:w="16838" w:h="11906" w:orient="landscape"/>
          <w:pgMar w:top="1587" w:right="1587" w:bottom="1587" w:left="1587" w:header="851" w:footer="992" w:gutter="283"/>
          <w:pgNumType w:fmt="decimal"/>
          <w:cols w:space="720" w:num="1"/>
          <w:docGrid w:linePitch="312" w:charSpace="0"/>
        </w:sectPr>
      </w:pPr>
      <w:r>
        <w:rPr>
          <w:rFonts w:hint="eastAsia" w:ascii="方正书宋简体" w:hAnsi="方正书宋简体" w:eastAsia="方正书宋简体" w:cs="方正书宋简体"/>
          <w:color w:val="auto"/>
          <w:kern w:val="0"/>
          <w:sz w:val="24"/>
          <w:highlight w:val="none"/>
        </w:rPr>
        <w:t>注明：</w:t>
      </w:r>
      <w:r>
        <w:rPr>
          <w:rFonts w:hint="eastAsia" w:ascii="方正书宋简体" w:hAnsi="方正书宋简体" w:eastAsia="方正书宋简体" w:cs="方正书宋简体"/>
          <w:color w:val="auto"/>
          <w:sz w:val="24"/>
          <w:highlight w:val="none"/>
        </w:rPr>
        <w:t>公益劳动1周，分散执行。</w:t>
      </w:r>
    </w:p>
    <w:p w14:paraId="01EE36E5">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bookmarkStart w:id="7" w:name="_Toc308833944"/>
      <w:r>
        <w:rPr>
          <w:rFonts w:hint="eastAsia" w:ascii="宋体" w:hAnsi="宋体" w:cs="宋体"/>
          <w:b/>
          <w:bCs/>
          <w:color w:val="auto"/>
          <w:spacing w:val="14"/>
          <w:sz w:val="24"/>
          <w:szCs w:val="24"/>
          <w:highlight w:val="none"/>
          <w:lang w:val="en-US" w:eastAsia="zh-CN"/>
        </w:rPr>
        <w:t>十</w:t>
      </w:r>
      <w:r>
        <w:rPr>
          <w:rFonts w:hint="eastAsia" w:ascii="宋体" w:hAnsi="宋体" w:eastAsia="宋体" w:cs="宋体"/>
          <w:b/>
          <w:bCs/>
          <w:color w:val="auto"/>
          <w:spacing w:val="14"/>
          <w:sz w:val="24"/>
          <w:szCs w:val="24"/>
          <w:highlight w:val="none"/>
          <w:lang w:eastAsia="zh-CN"/>
        </w:rPr>
        <w:t>、实施保障</w:t>
      </w:r>
      <w:bookmarkEnd w:id="7"/>
    </w:p>
    <w:p w14:paraId="3A26E644">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主要包括师资队伍、教学设施、教学资源、教学方法、学习评价、质量管理等方面。</w:t>
      </w:r>
    </w:p>
    <w:p w14:paraId="05B6A83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）师资队伍</w:t>
      </w:r>
    </w:p>
    <w:p w14:paraId="1C9167B9">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根据教育部颁发的《中等职业学校教师专业标准》和《中等职业学校设置标准》的有关规定，进行教师队伍建设及配置教师资源。我校本专业教师资源充足，专任教师</w:t>
      </w:r>
      <w:r>
        <w:rPr>
          <w:rFonts w:hint="eastAsia" w:ascii="宋体" w:hAnsi="宋体" w:eastAsia="宋体" w:cs="宋体"/>
          <w:color w:val="auto"/>
          <w:spacing w:val="14"/>
          <w:sz w:val="24"/>
          <w:szCs w:val="24"/>
          <w:highlight w:val="none"/>
          <w:lang w:val="en-US" w:eastAsia="zh-CN"/>
        </w:rPr>
        <w:t>17</w:t>
      </w:r>
      <w:r>
        <w:rPr>
          <w:rFonts w:hint="eastAsia" w:ascii="宋体" w:hAnsi="宋体" w:eastAsia="宋体" w:cs="宋体"/>
          <w:color w:val="auto"/>
          <w:spacing w:val="14"/>
          <w:sz w:val="24"/>
          <w:szCs w:val="24"/>
          <w:highlight w:val="none"/>
          <w:lang w:eastAsia="zh-CN"/>
        </w:rPr>
        <w:t>人，具有相关专业中级及以上专业技术职务的专业教师</w:t>
      </w:r>
      <w:r>
        <w:rPr>
          <w:rFonts w:hint="eastAsia" w:ascii="宋体" w:hAnsi="宋体" w:eastAsia="宋体" w:cs="宋体"/>
          <w:color w:val="auto"/>
          <w:spacing w:val="14"/>
          <w:sz w:val="24"/>
          <w:szCs w:val="24"/>
          <w:highlight w:val="none"/>
          <w:lang w:val="en-US" w:eastAsia="zh-CN"/>
        </w:rPr>
        <w:t>10</w:t>
      </w:r>
      <w:r>
        <w:rPr>
          <w:rFonts w:hint="eastAsia" w:ascii="宋体" w:hAnsi="宋体" w:eastAsia="宋体" w:cs="宋体"/>
          <w:color w:val="auto"/>
          <w:spacing w:val="14"/>
          <w:sz w:val="24"/>
          <w:szCs w:val="24"/>
          <w:highlight w:val="none"/>
          <w:lang w:eastAsia="zh-CN"/>
        </w:rPr>
        <w:t>人，具有高级专业技术职务的专业教师</w:t>
      </w:r>
      <w:r>
        <w:rPr>
          <w:rFonts w:hint="eastAsia" w:ascii="宋体" w:hAnsi="宋体" w:eastAsia="宋体" w:cs="宋体"/>
          <w:color w:val="auto"/>
          <w:spacing w:val="14"/>
          <w:sz w:val="24"/>
          <w:szCs w:val="24"/>
          <w:highlight w:val="none"/>
          <w:lang w:val="en-US" w:eastAsia="zh-CN"/>
        </w:rPr>
        <w:t>8</w:t>
      </w:r>
      <w:r>
        <w:rPr>
          <w:rFonts w:hint="eastAsia" w:ascii="宋体" w:hAnsi="宋体" w:eastAsia="宋体" w:cs="宋体"/>
          <w:color w:val="auto"/>
          <w:spacing w:val="14"/>
          <w:sz w:val="24"/>
          <w:szCs w:val="24"/>
          <w:highlight w:val="none"/>
          <w:lang w:eastAsia="zh-CN"/>
        </w:rPr>
        <w:t>人,占比</w:t>
      </w:r>
      <w:r>
        <w:rPr>
          <w:rFonts w:hint="eastAsia" w:ascii="宋体" w:hAnsi="宋体" w:eastAsia="宋体" w:cs="宋体"/>
          <w:color w:val="auto"/>
          <w:spacing w:val="14"/>
          <w:sz w:val="24"/>
          <w:szCs w:val="24"/>
          <w:highlight w:val="none"/>
          <w:lang w:val="en-US" w:eastAsia="zh-CN"/>
        </w:rPr>
        <w:t>80%</w:t>
      </w:r>
      <w:r>
        <w:rPr>
          <w:rFonts w:hint="eastAsia" w:ascii="宋体" w:hAnsi="宋体" w:eastAsia="宋体" w:cs="宋体"/>
          <w:color w:val="auto"/>
          <w:spacing w:val="14"/>
          <w:sz w:val="24"/>
          <w:szCs w:val="24"/>
          <w:highlight w:val="none"/>
          <w:lang w:eastAsia="zh-CN"/>
        </w:rPr>
        <w:t>；“双师型”教师</w:t>
      </w:r>
      <w:r>
        <w:rPr>
          <w:rFonts w:hint="eastAsia" w:ascii="宋体" w:hAnsi="宋体" w:eastAsia="宋体" w:cs="宋体"/>
          <w:color w:val="auto"/>
          <w:spacing w:val="14"/>
          <w:sz w:val="24"/>
          <w:szCs w:val="24"/>
          <w:highlight w:val="none"/>
          <w:lang w:val="en-US" w:eastAsia="zh-CN"/>
        </w:rPr>
        <w:t>9</w:t>
      </w:r>
      <w:r>
        <w:rPr>
          <w:rFonts w:hint="eastAsia" w:ascii="宋体" w:hAnsi="宋体" w:eastAsia="宋体" w:cs="宋体"/>
          <w:color w:val="auto"/>
          <w:spacing w:val="14"/>
          <w:sz w:val="24"/>
          <w:szCs w:val="24"/>
          <w:highlight w:val="none"/>
          <w:lang w:eastAsia="zh-CN"/>
        </w:rPr>
        <w:t>人，占比</w:t>
      </w:r>
      <w:r>
        <w:rPr>
          <w:rFonts w:hint="eastAsia" w:ascii="宋体" w:hAnsi="宋体" w:eastAsia="宋体" w:cs="宋体"/>
          <w:color w:val="auto"/>
          <w:spacing w:val="14"/>
          <w:sz w:val="24"/>
          <w:szCs w:val="24"/>
          <w:highlight w:val="none"/>
          <w:lang w:val="en-US" w:eastAsia="zh-CN"/>
        </w:rPr>
        <w:t>90%</w:t>
      </w:r>
      <w:r>
        <w:rPr>
          <w:rFonts w:hint="eastAsia" w:ascii="宋体" w:hAnsi="宋体" w:eastAsia="宋体" w:cs="宋体"/>
          <w:color w:val="auto"/>
          <w:spacing w:val="14"/>
          <w:sz w:val="24"/>
          <w:szCs w:val="24"/>
          <w:highlight w:val="none"/>
          <w:lang w:eastAsia="zh-CN"/>
        </w:rPr>
        <w:t>；专任教师均具有本专业或相关专业本科以上学历，获得教师资格证书和本专业相关工种中级(含)以上职业资格，能够适应产业、行业发展需求，积极开展教学课程改革。能独立承担2-3门专业课，独立指导2- 3门实训课程。</w:t>
      </w:r>
    </w:p>
    <w:p w14:paraId="462E759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）教学设施</w:t>
      </w:r>
    </w:p>
    <w:p w14:paraId="4233980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教学设施主要包括能够满足正常的课程教学、实习实训所需的教室、实训室。</w:t>
      </w:r>
    </w:p>
    <w:p w14:paraId="27903DFC">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1.教室基本条件</w:t>
      </w:r>
    </w:p>
    <w:p w14:paraId="678E2AC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 xml:space="preserve">教室均配备黑(白)板、多媒体计算机、投影设备、音响设备，互联网接入环境，能够实现多媒体教学。 </w:t>
      </w:r>
    </w:p>
    <w:p w14:paraId="35103B9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2.实训室基本条件</w:t>
      </w:r>
    </w:p>
    <w:p w14:paraId="49B9DB5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w:t>
      </w:r>
      <w:r>
        <w:rPr>
          <w:rFonts w:hint="eastAsia" w:ascii="宋体" w:hAnsi="宋体" w:eastAsia="宋体" w:cs="宋体"/>
          <w:color w:val="auto"/>
          <w:spacing w:val="14"/>
          <w:sz w:val="24"/>
          <w:szCs w:val="24"/>
          <w:highlight w:val="none"/>
          <w:lang w:val="en-US" w:eastAsia="zh-CN"/>
        </w:rPr>
        <w:t>机电技术</w:t>
      </w:r>
      <w:r>
        <w:rPr>
          <w:rFonts w:hint="eastAsia" w:ascii="宋体" w:hAnsi="宋体" w:eastAsia="宋体" w:cs="宋体"/>
          <w:color w:val="auto"/>
          <w:spacing w:val="14"/>
          <w:sz w:val="24"/>
          <w:szCs w:val="24"/>
          <w:highlight w:val="none"/>
          <w:lang w:eastAsia="zh-CN"/>
        </w:rPr>
        <w:t>应用专业培养目标的要求，本专业现有</w:t>
      </w:r>
      <w:r>
        <w:rPr>
          <w:rFonts w:hint="eastAsia" w:ascii="宋体" w:hAnsi="宋体" w:eastAsia="宋体" w:cs="宋体"/>
          <w:color w:val="auto"/>
          <w:spacing w:val="14"/>
          <w:sz w:val="24"/>
          <w:szCs w:val="24"/>
          <w:highlight w:val="none"/>
          <w:lang w:val="en-US" w:eastAsia="zh-CN"/>
        </w:rPr>
        <w:t>相关</w:t>
      </w:r>
      <w:r>
        <w:rPr>
          <w:rFonts w:hint="eastAsia" w:ascii="宋体" w:hAnsi="宋体" w:cs="宋体"/>
          <w:color w:val="auto"/>
          <w:spacing w:val="14"/>
          <w:sz w:val="24"/>
          <w:szCs w:val="24"/>
          <w:highlight w:val="none"/>
          <w:lang w:val="en-US" w:eastAsia="zh-CN"/>
        </w:rPr>
        <w:t>实验</w:t>
      </w:r>
      <w:r>
        <w:rPr>
          <w:rFonts w:hint="eastAsia" w:ascii="宋体" w:hAnsi="宋体" w:eastAsia="宋体" w:cs="宋体"/>
          <w:color w:val="auto"/>
          <w:spacing w:val="14"/>
          <w:sz w:val="24"/>
          <w:szCs w:val="24"/>
          <w:highlight w:val="none"/>
          <w:lang w:eastAsia="zh-CN"/>
        </w:rPr>
        <w:t>、实训室</w:t>
      </w:r>
      <w:r>
        <w:rPr>
          <w:rFonts w:hint="eastAsia" w:ascii="宋体" w:hAnsi="宋体" w:cs="宋体"/>
          <w:color w:val="auto"/>
          <w:spacing w:val="14"/>
          <w:sz w:val="24"/>
          <w:szCs w:val="24"/>
          <w:highlight w:val="none"/>
          <w:lang w:val="en-US" w:eastAsia="zh-CN"/>
        </w:rPr>
        <w:t>7</w:t>
      </w:r>
      <w:r>
        <w:rPr>
          <w:rFonts w:hint="eastAsia" w:ascii="宋体" w:hAnsi="宋体" w:eastAsia="宋体" w:cs="宋体"/>
          <w:color w:val="auto"/>
          <w:spacing w:val="14"/>
          <w:sz w:val="24"/>
          <w:szCs w:val="24"/>
          <w:highlight w:val="none"/>
          <w:lang w:eastAsia="zh-CN"/>
        </w:rPr>
        <w:t>个，能充分满足本专业学生校内实训实习的需要。</w:t>
      </w:r>
    </w:p>
    <w:p w14:paraId="2F08EA9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）教学资源</w:t>
      </w:r>
    </w:p>
    <w:p w14:paraId="1E1ACD4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教材使用方面，多数使用国家高等教育出版社的教材，教师开发教学课件、微课、视频种类多。</w:t>
      </w:r>
    </w:p>
    <w:p w14:paraId="7795D7A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专业教材使用紧密结合</w:t>
      </w:r>
      <w:r>
        <w:rPr>
          <w:rFonts w:hint="eastAsia" w:ascii="宋体" w:hAnsi="宋体" w:cs="宋体"/>
          <w:color w:val="auto"/>
          <w:spacing w:val="14"/>
          <w:sz w:val="24"/>
          <w:szCs w:val="24"/>
          <w:highlight w:val="none"/>
          <w:lang w:val="en-US" w:eastAsia="zh-CN"/>
        </w:rPr>
        <w:t>机电技术</w:t>
      </w:r>
      <w:r>
        <w:rPr>
          <w:rFonts w:hint="eastAsia" w:ascii="宋体" w:hAnsi="宋体" w:eastAsia="宋体" w:cs="宋体"/>
          <w:color w:val="auto"/>
          <w:spacing w:val="14"/>
          <w:sz w:val="24"/>
          <w:szCs w:val="24"/>
          <w:highlight w:val="none"/>
          <w:lang w:eastAsia="zh-CN"/>
        </w:rPr>
        <w:t>专业岗位需求,引入所必须的理论知识，增加理实一体式、任务驱动式教学内容，多数使用国家高等教育出版社的教材。为了培养学生的兴趣，教师创设形象生动的教学情境，采用现 代化教学手段，辅助使用通过购买、检索、校企合作或者自主研发的实物教具、多媒体课件、影像资料、电子教案、试题库等数字化教学资源。</w:t>
      </w:r>
    </w:p>
    <w:p w14:paraId="06E1700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四</w:t>
      </w:r>
      <w:r>
        <w:rPr>
          <w:rFonts w:hint="eastAsia" w:ascii="宋体" w:hAnsi="宋体" w:eastAsia="宋体" w:cs="宋体"/>
          <w:color w:val="auto"/>
          <w:spacing w:val="14"/>
          <w:sz w:val="24"/>
          <w:szCs w:val="24"/>
          <w:highlight w:val="none"/>
          <w:lang w:eastAsia="zh-CN"/>
        </w:rPr>
        <w:t>）教学方法</w:t>
      </w:r>
    </w:p>
    <w:p w14:paraId="73353F3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采用理论讲授、项目教学、任务驱动、模块化教学，将生活中或工作中的实例引入课堂，更加突出了“以 就业为导向”的职教理念。注重学生的实操能力和自主创新能力，提高了学生的知识水平和实践能力。</w:t>
      </w:r>
    </w:p>
    <w:p w14:paraId="20E705B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五</w:t>
      </w:r>
      <w:r>
        <w:rPr>
          <w:rFonts w:hint="eastAsia" w:ascii="宋体" w:hAnsi="宋体" w:eastAsia="宋体" w:cs="宋体"/>
          <w:color w:val="auto"/>
          <w:spacing w:val="14"/>
          <w:sz w:val="24"/>
          <w:szCs w:val="24"/>
          <w:highlight w:val="none"/>
          <w:lang w:eastAsia="zh-CN"/>
        </w:rPr>
        <w:t>）学习评价</w:t>
      </w:r>
    </w:p>
    <w:p w14:paraId="3AE1C87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采用阶段性评价与结果评价相结合，注重学习过程</w:t>
      </w:r>
      <w:r>
        <w:rPr>
          <w:rFonts w:hint="eastAsia" w:ascii="宋体" w:hAnsi="宋体" w:cs="宋体"/>
          <w:color w:val="auto"/>
          <w:spacing w:val="14"/>
          <w:sz w:val="24"/>
          <w:szCs w:val="24"/>
          <w:highlight w:val="none"/>
          <w:lang w:val="en-US" w:eastAsia="zh-CN"/>
        </w:rPr>
        <w:t>和</w:t>
      </w:r>
      <w:r>
        <w:rPr>
          <w:rFonts w:hint="eastAsia" w:ascii="宋体" w:hAnsi="宋体" w:eastAsia="宋体" w:cs="宋体"/>
          <w:color w:val="auto"/>
          <w:spacing w:val="14"/>
          <w:sz w:val="24"/>
          <w:szCs w:val="24"/>
          <w:highlight w:val="none"/>
          <w:lang w:eastAsia="zh-CN"/>
        </w:rPr>
        <w:t>实习实践，强调职业素养。</w:t>
      </w:r>
    </w:p>
    <w:p w14:paraId="73AF280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1.过程性考核</w:t>
      </w:r>
    </w:p>
    <w:p w14:paraId="3D244BC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查学生学习过程中对专业知识的综合运用和技能的掌握及学生解决问题的能力，主要通过完成具体的学习(工作)项目的实施过程来进行评价。具体从学生在课堂学习和参与项目的态度和职业素养及回答问 题等方面进行考核评价。同时,从在完成项目过程中所获得的实践经验、学生的语言文字表达和人际交往及合作 能力、工作任务或项目完成情况、安全意识、操作规范性和节能环保意识等方面来进行考核评价。</w:t>
      </w:r>
    </w:p>
    <w:p w14:paraId="6170FA1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2.结果性考核</w:t>
      </w:r>
    </w:p>
    <w:p w14:paraId="6173590A">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主要用于考核学生对课程知识的理解和掌握，通过期末考试方式来进行考核评价。</w:t>
      </w:r>
    </w:p>
    <w:p w14:paraId="20A3A09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3.课程总体评价</w:t>
      </w:r>
    </w:p>
    <w:p w14:paraId="05A8083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根据课程的目标与过程性考核评价成绩、终结性考核评价的相关程度，按比例计入课程期末成绩。</w:t>
      </w:r>
    </w:p>
    <w:p w14:paraId="4296CC3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六</w:t>
      </w:r>
      <w:r>
        <w:rPr>
          <w:rFonts w:hint="eastAsia" w:ascii="宋体" w:hAnsi="宋体" w:eastAsia="宋体" w:cs="宋体"/>
          <w:color w:val="auto"/>
          <w:spacing w:val="14"/>
          <w:sz w:val="24"/>
          <w:szCs w:val="24"/>
          <w:highlight w:val="none"/>
          <w:lang w:eastAsia="zh-CN"/>
        </w:rPr>
        <w:t>）质量管理</w:t>
      </w:r>
    </w:p>
    <w:p w14:paraId="44B1E68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学校成立教学督导科室，定期检查教学情况，建立良好的老师相互听课、学习、评课制度，定期检查授课 进度，了解作业批改情况、教案检查、教学策划及课程与教学评价等，使老师们相互学习、取长补短、共同提高。定期组织教师学习、充电，了解政策、掌握新的教学改革方向，创新课堂。并聘请行业高级专业技术人才交流、讲座和授课。达到提升教师教学能力、丰富教学内涵的目的；定期召开学生代表座谈会，执行学生评教制度，组织对青年教师教学活动的测评等；制定相关管理制度与实施办法，不断加强和改善各教研室建设。</w:t>
      </w:r>
    </w:p>
    <w:p w14:paraId="0DE462BB">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bookmarkStart w:id="8" w:name="_Toc104122009"/>
      <w:r>
        <w:rPr>
          <w:rFonts w:hint="eastAsia" w:ascii="宋体" w:hAnsi="宋体" w:cs="宋体"/>
          <w:b/>
          <w:bCs/>
          <w:color w:val="auto"/>
          <w:spacing w:val="14"/>
          <w:sz w:val="24"/>
          <w:szCs w:val="24"/>
          <w:highlight w:val="none"/>
          <w:lang w:val="en-US" w:eastAsia="zh-CN"/>
        </w:rPr>
        <w:t>十一</w:t>
      </w:r>
      <w:r>
        <w:rPr>
          <w:rFonts w:hint="eastAsia" w:ascii="宋体" w:hAnsi="宋体" w:eastAsia="宋体" w:cs="宋体"/>
          <w:b/>
          <w:bCs/>
          <w:color w:val="auto"/>
          <w:spacing w:val="14"/>
          <w:sz w:val="24"/>
          <w:szCs w:val="24"/>
          <w:highlight w:val="none"/>
          <w:lang w:eastAsia="zh-CN"/>
        </w:rPr>
        <w:t>、毕业要求</w:t>
      </w:r>
      <w:bookmarkEnd w:id="8"/>
    </w:p>
    <w:p w14:paraId="412816BA">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毕业要求是学生通过规定年限的学习，须修满专业人才培养方案所规定的学时学分，完成规定的教学活动， 毕业时应达到的素质、知识和能力等方面要求。毕业要求应能支撑培养目标的有效达成。</w:t>
      </w:r>
    </w:p>
    <w:p w14:paraId="0723BE8A">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）成绩要求</w:t>
      </w:r>
    </w:p>
    <w:p w14:paraId="63B143E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所有必修课和选修课，均要进行理论知识和职业技能考核。理论成绩考核采取考试、考查两种方式。考试成绩采用百分制。每一门课程均应按照教学大纲要求的标准和考核方式进行严格的考核，本专业学生必须修完本方案规定的全部教学环节，学习课程全部考试合格，至少修满不低于170总学分，完成规定的教学活动方可取 得毕业资格。允许学生对不合格课程进行补修和补考。</w:t>
      </w:r>
    </w:p>
    <w:p w14:paraId="0C9CD0D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）技能要求</w:t>
      </w:r>
    </w:p>
    <w:p w14:paraId="1487575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按照课程标准规定的技能项目，每项技能均须达到合格以上。</w:t>
      </w:r>
    </w:p>
    <w:p w14:paraId="290E08A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）技能证书的要求</w:t>
      </w:r>
    </w:p>
    <w:p w14:paraId="6501733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在毕业前，经考核必须获得本专业1个以上的1+X</w:t>
      </w:r>
      <w:r>
        <w:rPr>
          <w:rFonts w:hint="eastAsia" w:ascii="宋体" w:hAnsi="宋体" w:eastAsia="宋体" w:cs="宋体"/>
          <w:color w:val="auto"/>
          <w:spacing w:val="14"/>
          <w:sz w:val="24"/>
          <w:szCs w:val="24"/>
          <w:highlight w:val="none"/>
          <w:lang w:val="en-US" w:eastAsia="zh-CN"/>
        </w:rPr>
        <w:t>机电技术</w:t>
      </w:r>
      <w:r>
        <w:rPr>
          <w:rFonts w:hint="eastAsia" w:ascii="宋体" w:hAnsi="宋体" w:eastAsia="宋体" w:cs="宋体"/>
          <w:color w:val="auto"/>
          <w:spacing w:val="14"/>
          <w:sz w:val="24"/>
          <w:szCs w:val="24"/>
          <w:highlight w:val="none"/>
          <w:lang w:eastAsia="zh-CN"/>
        </w:rPr>
        <w:t>领域职业资格证书。</w:t>
      </w:r>
    </w:p>
    <w:p w14:paraId="538B70AB">
      <w:pPr>
        <w:keepNext w:val="0"/>
        <w:keepLines w:val="0"/>
        <w:pageBreakBefore w:val="0"/>
        <w:wordWrap/>
        <w:overflowPunct/>
        <w:topLinePunct w:val="0"/>
        <w:bidi w:val="0"/>
        <w:adjustRightInd w:val="0"/>
        <w:snapToGrid w:val="0"/>
        <w:spacing w:line="460" w:lineRule="exact"/>
        <w:rPr>
          <w:color w:val="auto"/>
          <w:sz w:val="24"/>
          <w:szCs w:val="24"/>
          <w:highlight w:val="none"/>
        </w:rPr>
      </w:pPr>
    </w:p>
    <w:p w14:paraId="03DCE4B4"/>
    <w:p w14:paraId="323FE8B9">
      <w:pPr>
        <w:pStyle w:val="2"/>
      </w:pPr>
    </w:p>
    <w:p w14:paraId="2FA41DE2">
      <w:bookmarkStart w:id="9" w:name="_GoBack"/>
      <w:bookmarkEnd w:id="9"/>
    </w:p>
    <w:p w14:paraId="51D87B5B">
      <w:pPr>
        <w:pStyle w:val="2"/>
      </w:pPr>
    </w:p>
    <w:p w14:paraId="28DB2EC5"/>
    <w:p w14:paraId="04D2F0AB">
      <w:pPr>
        <w:pStyle w:val="2"/>
      </w:pPr>
    </w:p>
    <w:p w14:paraId="4F8FD400"/>
    <w:p w14:paraId="32F0C65C">
      <w:pPr>
        <w:pStyle w:val="2"/>
      </w:pPr>
    </w:p>
    <w:p w14:paraId="515C6D0E"/>
    <w:p w14:paraId="3E164326">
      <w:pPr>
        <w:pStyle w:val="2"/>
      </w:pPr>
    </w:p>
    <w:p w14:paraId="00FBCED1"/>
    <w:p w14:paraId="0D645C98">
      <w:pPr>
        <w:pStyle w:val="2"/>
      </w:pPr>
    </w:p>
    <w:p w14:paraId="0A66A60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楷体简体">
    <w:altName w:val="宋体"/>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宋三简体">
    <w:altName w:val="宋体"/>
    <w:panose1 w:val="03000509000000000000"/>
    <w:charset w:val="86"/>
    <w:family w:val="auto"/>
    <w:pitch w:val="default"/>
    <w:sig w:usb0="00000000" w:usb1="00000000" w:usb2="00000000" w:usb3="00000000" w:csb0="00040000" w:csb1="00000000"/>
  </w:font>
  <w:font w:name="方正书宋简体">
    <w:altName w:val="宋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66D99">
    <w:pPr>
      <w:pStyle w:val="4"/>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F56A06F">
                          <w:pPr>
                            <w:pStyle w:val="4"/>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path/>
              <v:fill on="f" focussize="0,0"/>
              <v:stroke on="f"/>
              <v:imagedata o:title=""/>
              <o:lock v:ext="edit" aspectratio="f"/>
              <v:textbox inset="0mm,0mm,0mm,0mm" style="mso-fit-shape-to-text:t;">
                <w:txbxContent>
                  <w:p w14:paraId="5F56A06F">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174F9F">
    <w:pPr>
      <w:pStyle w:val="4"/>
      <w:tabs>
        <w:tab w:val="center" w:pos="6832"/>
        <w:tab w:val="clear" w:pos="4153"/>
      </w:tabs>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759595D">
                          <w:pPr>
                            <w:pStyle w:val="4"/>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path/>
              <v:fill on="f" focussize="0,0"/>
              <v:stroke on="f"/>
              <v:imagedata o:title=""/>
              <o:lock v:ext="edit" aspectratio="f"/>
              <v:textbox inset="0mm,0mm,0mm,0mm" style="mso-fit-shape-to-text:t;">
                <w:txbxContent>
                  <w:p w14:paraId="4759595D">
                    <w:pPr>
                      <w:pStyle w:val="4"/>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lang w:eastAsia="zh-CN"/>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FD0D6">
    <w:pPr>
      <w:pStyle w:val="4"/>
      <w:ind w:right="360" w:firstLine="36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EF66841">
                          <w:pPr>
                            <w:pStyle w:val="4"/>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xjdksg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VhS4rjFiV9+/rj8+nP5/Z2g&#10;DwXqA9SYdx8wMw3v/IDJsx/QmXkPKtr8RUYE4yjv+SqvHBIR+dF6tV5XGBIYmy+Izx6ehwjpvfSW&#10;ZKOhEedXZOWnj5DG1DklV3P+ThtTZmjcPw7EzB6Wex97zFYa9sNEaO/bM/LpcfQNdbjplJgPDpXN&#10;WzIbcTb2s3EMUR+6ska5HoTbY8ImSm+5wgg7FcaZFXbTfuWleHwvWQ//1PY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cY3ZLIAQAAmwMAAA4AAAAAAAAAAQAgAAAAHgEAAGRycy9lMm9Eb2Mu&#10;eG1sUEsFBgAAAAAGAAYAWQEAAFgFAAAAAA==&#10;">
              <v:path/>
              <v:fill on="f" focussize="0,0"/>
              <v:stroke on="f"/>
              <v:imagedata o:title=""/>
              <o:lock v:ext="edit" aspectratio="f"/>
              <v:textbox inset="0mm,0mm,0mm,0mm" style="mso-fit-shape-to-text:t;">
                <w:txbxContent>
                  <w:p w14:paraId="1EF66841">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BE323">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B82CF5"/>
    <w:multiLevelType w:val="singleLevel"/>
    <w:tmpl w:val="AEB82CF5"/>
    <w:lvl w:ilvl="0" w:tentative="0">
      <w:start w:val="9"/>
      <w:numFmt w:val="chineseCounting"/>
      <w:suff w:val="nothing"/>
      <w:lvlText w:val="%1、"/>
      <w:lvlJc w:val="left"/>
      <w:rPr>
        <w:rFonts w:hint="eastAsia"/>
      </w:rPr>
    </w:lvl>
  </w:abstractNum>
  <w:abstractNum w:abstractNumId="1">
    <w:nsid w:val="6FC6F25B"/>
    <w:multiLevelType w:val="singleLevel"/>
    <w:tmpl w:val="6FC6F25B"/>
    <w:lvl w:ilvl="0" w:tentative="0">
      <w:start w:val="4"/>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A6545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qFormat/>
    <w:uiPriority w:val="1"/>
    <w:rPr>
      <w:sz w:val="28"/>
      <w:szCs w:val="28"/>
    </w:rPr>
  </w:style>
  <w:style w:type="paragraph" w:styleId="4">
    <w:name w:val="footer"/>
    <w:basedOn w:val="1"/>
    <w:qFormat/>
    <w:uiPriority w:val="0"/>
    <w:pPr>
      <w:tabs>
        <w:tab w:val="center" w:pos="4153"/>
        <w:tab w:val="right" w:pos="8306"/>
      </w:tabs>
      <w:snapToGrid w:val="0"/>
      <w:jc w:val="left"/>
    </w:pPr>
    <w:rPr>
      <w:kern w:val="2"/>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kern w:val="2"/>
      <w:sz w:val="18"/>
      <w:szCs w:val="18"/>
    </w:rPr>
  </w:style>
  <w:style w:type="paragraph" w:customStyle="1" w:styleId="8">
    <w:name w:val="样式2"/>
    <w:basedOn w:val="1"/>
    <w:qFormat/>
    <w:uiPriority w:val="0"/>
    <w:pPr>
      <w:spacing w:beforeLines="50" w:line="440" w:lineRule="exact"/>
      <w:ind w:firstLine="420"/>
    </w:pPr>
    <w:rPr>
      <w:rFonts w:ascii="方正楷体简体" w:eastAsia="方正楷体简体"/>
      <w:color w:val="000000"/>
      <w:sz w:val="28"/>
      <w:szCs w:val="28"/>
    </w:rPr>
  </w:style>
  <w:style w:type="table" w:customStyle="1" w:styleId="9">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2025-11-27T03:34:41Z</dcterms:created>
  <dc:creator>Administrator</dc:creator>
  <cp:lastModifiedBy>Sunshine</cp:lastModifiedBy>
  <dcterms:modified xsi:type="dcterms:W3CDTF">2025-11-27T03:34:48Z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eyJoZGlkIjoiMDM5MjM3YzczMzVmOWI4M2RkODkzNWQ2YTczN2JmY2MiLCJ1c2VySWQiOiI1MTY4MjQ4MjUifQ==</vt:lpwstr>
  </property>
  <property fmtid="{D5CDD505-2E9C-101B-9397-08002B2CF9AE}" pid="4" name="ICV">
    <vt:lpwstr>E99E22B3C7D6408092DC4DA3B9057B39_12</vt:lpwstr>
  </property>
</Properties>
</file>